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Masson, Olivie/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manuel, conforme au référentiel officiel du BTS diététique, familiarise les étudiants avec les notions de biochimie indispensables à la compréhension de la nutrition, des régimes, de la physiopathologie et de la technologie alimentaire. Cet ouvrage est organisé autour de quatre grands thèmes : la biochimie structurale, qui étudie l'organisation moléculaire de la matière vivante ; l'enzymologie, qui présente les enzymes, coenzymes et cofacteurs, et en détaille l'intérêt en biochimie clinique et dans l'industrie agroalimentaire ; la biochimie métabolique, qui analyse les transformations métaboliques en Œuvre au sein de la matière vivante, leurs interrelations et leurs régulations ; la génétique moléculaire, qui étudie la conservation, la transmission et l'expression de l'information génétique. Cette 2e édition a notamment été augmentée d'un chapitre consacré à l'étude des métabolismes annexes (calcium, phosphore, radicaux libres, fer...). Destiné aux étudiants des BTS diététique et des IUT génie biologique, option diététique, Biochimie - Bases biochimiques de la diététique s'adresse également aux diététiciens en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