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Plante et cosmos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Kranich, Ernst-Michael/ Wisser,René/ </w:t>
            </w:r>
          </w:p>
        </w:tc>
      </w:tr>
      <w:tr>
        <w:trPr>
          <w:trHeight w:val="567"/>
        </w:trPr>
        <w:tc>
          <w:tcPr>
            <w:tcW w:type="dxa" w:w="3000"/>
          </w:tcPr>
          <w:p>
            <w:r>
              <w:t>Adresse bib.</w:t>
            </w:r>
          </w:p>
        </w:tc>
        <w:tc>
          <w:tcPr>
            <w:tcW w:type="dxa" w:w="7000"/>
          </w:tcPr>
          <w:p>
            <w:r>
              <w:t xml:space="preserve">Triades/ </w:t>
            </w:r>
          </w:p>
        </w:tc>
      </w:tr>
      <w:tr>
        <w:trPr>
          <w:trHeight w:val="567"/>
        </w:trPr>
        <w:tc>
          <w:tcPr>
            <w:tcW w:type="dxa" w:w="3000"/>
          </w:tcPr>
          <w:p>
            <w:r>
              <w:t>Nombre de Pages</w:t>
            </w:r>
          </w:p>
        </w:tc>
        <w:tc>
          <w:tcPr>
            <w:tcW w:type="dxa" w:w="7000"/>
          </w:tcPr>
          <w:p>
            <w:r>
              <w:t>342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 p.p 335-342</w:t>
            </w:r>
          </w:p>
        </w:tc>
      </w:tr>
      <w:tr>
        <w:trPr>
          <w:trHeight w:val="567"/>
        </w:trPr>
        <w:tc>
          <w:tcPr>
            <w:tcW w:type="dxa" w:w="3000"/>
          </w:tcPr>
          <w:p>
            <w:r>
              <w:t>Numéro d'Identification</w:t>
            </w:r>
          </w:p>
        </w:tc>
        <w:tc>
          <w:tcPr>
            <w:tcW w:type="dxa" w:w="7000"/>
          </w:tcPr>
          <w:p>
            <w:r>
              <w:t>2852482681</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plante- morphologie/ physiologie végétale/ cosmologie/ </w:t>
            </w:r>
          </w:p>
        </w:tc>
      </w:tr>
    </w:tbl>
    <w:p>
      <w:pPr>
        <w:pStyle w:val="Heading3"/>
      </w:pPr>
      <w:r>
        <w:t>Résumé :</w:t>
      </w:r>
    </w:p>
    <w:p>
      <w:r>
        <w:t>Cet ouvrage élargit ce regard global jusqu’aux confins de l’univers. Dans les formes et les processus de croissance des végétaux. Il cherche les mouvements et les rythmes du soleil., de la lune., et des autres planètes. Il nous apprend, en regardant vivre les plantes, à voir le cosmos à l’œuvre.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