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Ouvrage de formation(N°:None)</w:t>
            </w:r>
          </w:p>
        </w:tc>
      </w:tr>
      <w:tr>
        <w:trPr>
          <w:trHeight w:val="567"/>
        </w:trPr>
        <w:tc>
          <w:tcPr>
            <w:tcW w:type="dxa" w:w="3000"/>
          </w:tcPr>
          <w:p>
            <w:r>
              <w:t>Notes Générales</w:t>
            </w:r>
          </w:p>
        </w:tc>
        <w:tc>
          <w:tcPr>
            <w:tcW w:type="dxa" w:w="7000"/>
          </w:tcPr>
          <w:p>
            <w:r>
              <w:t>Index p.p. 307-312</w:t>
            </w:r>
          </w:p>
        </w:tc>
      </w:tr>
      <w:tr>
        <w:trPr>
          <w:trHeight w:val="567"/>
        </w:trPr>
        <w:tc>
          <w:tcPr>
            <w:tcW w:type="dxa" w:w="3000"/>
          </w:tcPr>
          <w:p>
            <w:r>
              <w:t>Numéro d'Identification</w:t>
            </w:r>
          </w:p>
        </w:tc>
        <w:tc>
          <w:tcPr>
            <w:tcW w:type="dxa" w:w="7000"/>
          </w:tcPr>
          <w:p>
            <w:r>
              <w:t>2744008176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interconnexion/ innovation/ </w:t>
            </w:r>
          </w:p>
        </w:tc>
      </w:tr>
    </w:tbl>
    <w:p>
      <w:pPr>
        <w:pStyle w:val="Heading3"/>
      </w:pPr>
      <w:r>
        <w:t>Résumé :</w:t>
      </w:r>
    </w:p>
    <w:p>
      <w:r>
        <w:t>Cet ouvrage se veut à la fois informatif et réflexif, invitant le lecteur à réfléchir sur sa propre utilisation des réseaux et sur les conséquences de cette utilisation sur sa vie personnelle et professionnelle. En somme, “Les réseaux” est une exploration profonde et critique d’un sujet incontournable de notre 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