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Préparation de nouveaux dérivés hétérocycliques benzazinoniques et benzazolinoniques a propriétés biologiques potentielles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Tliba, Sourour/ Berredjem, Malika/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Universite Badji mokhtar 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540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benzothiazine/ N-Acylhydrazone/ nitrone/ </w:t>
            </w:r>
          </w:p>
        </w:tc>
      </w:tr>
    </w:tbl>
    <w:p>
      <w:pPr>
        <w:pStyle w:val="Heading3"/>
      </w:pPr>
      <w:r>
        <w:t>Résumé :</w:t>
      </w:r>
    </w:p>
    <w:p>
      <w:r>
        <w:t>Les systèmes hybrides hétérocycliques possèdent souvent des propriétés entièrement différentes et améliorées par rapport à leurs molécules mères d’origine. L’étude de la littérature a révélée que la synthèse des N˗acylhydrazones dérivés de la 1,4˗benzothiazin˗3˗one; pharmacophore observé dans de nombreuses substances bioactives et ayant des propriétés pharmacologiques très variées n’a pas été étudiée.</w:t>
        <w:br/>
        <w:br/>
        <w:t>Dans cette optique, l’objectif principal de ce travail de thèse était de développer une méthodologie synthétique permettant l’accès en particulier à de systèmes hétérocycliques benzothiazinoniques. Cependant, il a été jugé intéressant de tenter la synthèse de composés contenant le noyau 1,4˗benzothiazine˗3˗one. Pour cela, nous avons associé deux pharmacophores importants en une seule molécule, représentée par un fragment benzothiazine et une autre structure de type N˗acylhydrazone, conduisant à la formation exclusive des isomères E des N˗acylhydrazones souhaités: (E)-N'-(benzylidène</w:t>
        <w:br/>
        <w:br/>
        <w:t>substitué)-2(3-oxo-2H-benzo[b][1,4]thiazin-4(3H)-yl)acétohydrazides via des procédures simples et générales.</w:t>
        <w:br/>
        <w:br/>
        <w:t>Les principaux points qui ont été pris en compte sont les suivants: Le comportement stéréochimique des composés N˗acylhydrazones nouvellement synthétisés, les résultats des méthodes de chauffage conventionnel par comparaison à celle des irradiations aux ultrasons (US),ainsi que les informations mécanistiques qui sont également présentées et discutées pour la réaction ciblée. En effet, d’après l’analyse spectrale 1H˗RMN et</w:t>
        <w:br/>
        <w:br/>
        <w:t>13C˗RMN effectuée sur les structures de tous les nouveaux N˗acylhydrazones synthétisées dans le DMSO˗d6, il a été conclu que ces composés existent sous forme de deux stéréoisomères (syn˗E et anti˗E) avec des pourcentages différents des rapports isomériques. Certains composés préparés ont été testés pour leur activité antioxydante</w:t>
        <w:br/>
        <w:br/>
        <w:t>in vitro (test au DPPH), et la majorité des composés ont montrés une activité antioxydante modérée.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