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Valdiguié, Pierre/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médicales internationales/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Biologie médicale(N°:None)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2743004150</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clinique/ biochimie/ </w:t>
            </w:r>
          </w:p>
        </w:tc>
      </w:tr>
    </w:tbl>
    <w:p>
      <w:pPr>
        <w:pStyle w:val="Heading3"/>
      </w:pPr>
      <w:r>
        <w:t>Résumé :</w:t>
      </w:r>
    </w:p>
    <w:p>
      <w:r>
        <w:t>La médecine s'appuie de plus en plus sur les examens paracliniques d'imagerie et de biologie multidisciplinaire. Le médecin prescripteur doit donc interpréter les résultats des dosages biochimiques transmis par le laboratoire de biologie médicale en fonction des autres données recueillies auprès du patient. Les connaissances élémentaires de biochimie, de sémiologie et de chimie analytique rassemblées dans ce classique sont nécessaires non seulement aux médecins on aux pharmaciens biologistes, mais aussi aux techniciens des laboratoires pratiquant ces analyses, ainsi qu'aux médecins en exercice ou en formation. Biochimie clinique se focalise volontairement sur des sujets classiques et des problèmes de pratique quotidienne. Chaque chapitre étudie les notions physiologiques élémentaires, les moyens d'exploration, les applications pathologiques usuelles et l'approche technologique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