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molécules d’intérêt biologique selon la réaction multi composants et bio activité des molécules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Benzaim, Ahmed Yasine/ Boukhari, 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liquide ionique/ docking moléculaire/ activité antibactérienne/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de notre travail, vu l’importance sur le plan pharmacologique et</w:t>
        <w:br/>
        <w:br/>
        <w:t>chimique des dérivés des α-aminophosphonates, et dans le but de synthétiser une</w:t>
        <w:br/>
        <w:br/>
        <w:t>nouvelle classe de molécules à activité antimicrobienne nous avons rapporté la synthèse</w:t>
        <w:br/>
        <w:br/>
        <w:t>d’une nouvelle série d’α-aminophosphonates 2(a-j) et 4(a-e) via la réaction « one-pot »</w:t>
        <w:br/>
        <w:br/>
        <w:t>de Kabachnik-Fields, et ceci, en présence du liquide ionique TEAA et sans solvant. Ces</w:t>
        <w:br/>
        <w:br/>
        <w:t>produits ont été obtenus avec de très bons rendements dans des conditions optimales.</w:t>
        <w:br/>
        <w:br/>
        <w:t>Leurs structures ont été confirmées par différentes méthodes spectroscopiques. Tous les</w:t>
        <w:br/>
        <w:br/>
        <w:t>composés synthétisés ont été évalué in vitro pour leur activité antibactérienne contre les</w:t>
        <w:br/>
        <w:br/>
        <w:t>bactéries à Gram-positifs (Staphylococcus aureus ATCC 25923, Staphylococcus aureus</w:t>
        <w:br/>
        <w:br/>
        <w:t>ATCC 29213, Enterococcus faecalis ATCC 29212) et pour leur activité antifongique</w:t>
        <w:br/>
        <w:br/>
        <w:t>contre un champignon (Candida albicans ATCC 10231). Les résultats ont montré que la</w:t>
        <w:br/>
        <w:br/>
        <w:t>plupart des composés testés ont montré de bonnes activités inhibitrices contre les</w:t>
        <w:br/>
        <w:br/>
        <w:t>bactéries par rapport aux standards (la Pénicilline G et l’Amphotéricine B). Les</w:t>
        <w:br/>
        <w:br/>
        <w:t>composés 2i, 2j et 4e ont montré une meilleure activité par rapport aux autres composés</w:t>
        <w:br/>
        <w:br/>
        <w:t>contre toutes les souches testées. Une étude DFT a été effectuée et nous a montré que la</w:t>
        <w:br/>
        <w:br/>
        <w:t>présence de groupements donneurs d’électrons présente une activité biologique plus</w:t>
        <w:br/>
        <w:br/>
        <w:t>élevée contrairement aux électroattracteurs. Nous avons également effectué une étude</w:t>
        <w:br/>
        <w:br/>
        <w:t>ADMET ainsi qu’un docking moléculaire. Le radar de la biodisponibilité nous a indiqué</w:t>
        <w:br/>
        <w:br/>
        <w:t>que plusieurs molécules synthétisées répondaient favorablement au test « drug-likeness</w:t>
        <w:br/>
        <w:br/>
        <w:t>» des ligands et nous a confirmé qu’ils étaient des médicaments potentiellement</w:t>
        <w:br/>
        <w:br/>
        <w:t>efficaces.</w:t>
        <w:br/>
        <w:br/>
        <w:t>Dans la deuxième partie, vu l’intérêt que porte les chimistes à la chimie verte qui émerge</w:t>
        <w:br/>
        <w:br/>
        <w:t>comme une approche prometteuse pour réduire les effets néfastes de la chimie</w:t>
        <w:br/>
        <w:br/>
        <w:t>traditionnelle, nous avons rapporté l’optimisation d’une série d’α-aminophosphonates</w:t>
        <w:br/>
        <w:br/>
        <w:t>4(a-l) effectuée dans un Natural Deep Eutectic Solvent (NaDES) en tant que catalyseur</w:t>
        <w:br/>
        <w:br/>
        <w:t>et solvant naturel. Les produits ont été obtenus avec d’excellents rendements et leurs</w:t>
        <w:br/>
        <w:br/>
        <w:t>structures ont été confirmées par différentes méthodes spectroscopiques.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