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Synthèse et caractérisation de nouveaux ligands bases de schiff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Bouchebcheb, Yasser/ Fedaoui, Dalila/ </w:t>
            </w:r>
          </w:p>
        </w:tc>
      </w:tr>
      <w:tr>
        <w:trPr>
          <w:trHeight w:val="567"/>
        </w:trPr>
        <w:tc>
          <w:tcPr>
            <w:tcW w:type="dxa" w:w="3000"/>
          </w:tcPr>
          <w:p>
            <w:r>
              <w:t>Nombre de Pages</w:t>
            </w:r>
          </w:p>
        </w:tc>
        <w:tc>
          <w:tcPr>
            <w:tcW w:type="dxa" w:w="7000"/>
          </w:tcPr>
          <w:p>
            <w:r>
              <w:t>229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benzothiazolinone/ docking moléculaire/ bases de schiff/ </w:t>
            </w:r>
          </w:p>
        </w:tc>
      </w:tr>
    </w:tbl>
    <w:p>
      <w:pPr>
        <w:pStyle w:val="Heading3"/>
      </w:pPr>
      <w:r>
        <w:t>Résumé :</w:t>
      </w:r>
    </w:p>
    <w:p>
      <w:r>
        <w:t>Une série de bases de Schiff portant un motif benzothiazolinone 4(a-f) a été synthétisée dans des conditions optimales et respectueuses de l'environnement, utilisant l'acétate de triéthylammonium comme solvant et catalyseur vert sous ultrasons. Cette méthode a permis d’obtenir les composés finaux avec un rendement élevé et en un temps réduit. Des diverses techniques spectroscopiques a été utilisé, telles que la RMN 1H, 13C et 2D et IR, pour déterminer les caractéristiques structurelles des composés synthétisés. Par la suite, une réaction de complexation des composés synthétisés 4(b,d) avec le métal de transition Cu(II) a été réalisée pour former des complexes métalliques 5(g,h). Les structures des différents complexes ont été confirmées par UV et IR. L'activité antioxydante des composés synthétisés 4(a-e) a été évaluée à l'aide de quatre méthodes distinctes (DPPH, ABTS, FRAP, phénanthroline) in vitro, révélant que toutes les molécules possédaient une activité antioxydante significatif, en particulier les composés phénoliques 4(b-d). L'activité antimicrobienne a été testée sur cinq souches bactériennes cliniques : deux gram-positives (Enterococcus faecalis et Staphylococcus aureus) et trois gram-négatives (Klebsiella pneumoniae, Pseudomonas fluorescens et Escherichia coli). De plus, cinq souches fongiques cliniques ont été incluses dans l'étude : Candida albicans, Candida kefyr, Candida krusei, Candida lucidum et Candida tropicalis. Les résultats ont montré que les souches bactériennes présentaient des zones d'inhibition variant de 12 à 25 mm, avec des concentrations minimales inhibitrices (CMI) entre 31,25 et 500 μg/ml. Les souches fongiques ont également montré une sensibilité notable, avec des diamètres de zones d'inhibition allant de 12 à 26 mm et des CMI similaires.</w:t>
        <w:br/>
        <w:br/>
        <w:t>Enfin, une étude théorique in silico a été menée en utilisant la DFT et le docking moléculaire, accompagnée d'une analyse ADMET, afin de mieux comprendre la réaction chimique ainsi de déterminer la signification biologique des molécules produites. La comparaison des résultats théoriques et expérimentaux pour les différents composés a confirmé la cohérence entre les prédictions théoriques et les observations expérimentales.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