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New integral inequalities and applications to boundary problems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Said, Fatma/ Boukerrioua, Khaled/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inequality of gronwall/ fractional integral inequalitie/ practical stability/ </w:t>
            </w:r>
          </w:p>
        </w:tc>
      </w:tr>
    </w:tbl>
    <w:p>
      <w:pPr>
        <w:pStyle w:val="Heading3"/>
      </w:pPr>
      <w:r>
        <w:t>Résumé :</w:t>
      </w:r>
    </w:p>
    <w:p>
      <w:r>
        <w:t>It is well known that the theory of integral inequalities plays acrucial role in the  qualitative and quantitative analysis of the behavior of solutions to nonlinear differential  equations. The objective of this thesis is  to establish fractional integral inequalities and other  inequalities of the Pachpatte-Gamidov type on time scales.   Finally,we have used certain integral inequalities to study the practical stability and h-stability of some perturbed nonlinear dynamical systems on arbitrary time scales.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