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Clément, Sylvain/ Veyssie, Madeleine/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Bibliogr,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pont impédance/ Transconductance/ </w:t>
            </w:r>
          </w:p>
        </w:tc>
      </w:tr>
    </w:tbl>
    <w:p>
      <w:pPr>
        <w:pStyle w:val="Heading3"/>
      </w:pPr>
      <w:r>
        <w:t>Résumé :</w:t>
      </w:r>
    </w:p>
    <w:p>
      <w:r>
        <w:t>Public cible : étudiants en premier et second cycle d’études scientifiques (DEUG, licence, IUT…) et enseignants en sciences physiques.</w:t>
        <w:br/>
        <w:br/>
        <w:br/>
        <w:br/>
        <w:t>Structure : rappels de cours → exercices thématiques → corrigés commentés.</w:t>
        <w:br/>
        <w:br/>
        <w:br/>
        <w:br/>
        <w:t>Objectif : consolider la maîtrise de l’électronique analogique par la pratique, avec des exercices pédagogiques et proches de cas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