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DHTML et CSS POUR LE word wide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Teague, Jason Cranford/ Warion, Veronique/ Campillo, Veronique/ </w:t>
            </w:r>
          </w:p>
        </w:tc>
      </w:tr>
      <w:tr>
        <w:trPr>
          <w:trHeight w:val="567"/>
        </w:trPr>
        <w:tc>
          <w:tcPr>
            <w:tcW w:type="dxa" w:w="3000"/>
          </w:tcPr>
          <w:p>
            <w:r>
              <w:t>Adresse bib.</w:t>
            </w:r>
          </w:p>
        </w:tc>
        <w:tc>
          <w:tcPr>
            <w:tcW w:type="dxa" w:w="7000"/>
          </w:tcPr>
          <w:p>
            <w:r>
              <w:t xml:space="preserve">Peachpit/ </w:t>
            </w:r>
          </w:p>
        </w:tc>
      </w:tr>
      <w:tr>
        <w:trPr>
          <w:trHeight w:val="567"/>
        </w:trPr>
        <w:tc>
          <w:tcPr>
            <w:tcW w:type="dxa" w:w="3000"/>
          </w:tcPr>
          <w:p>
            <w:r>
              <w:t>Nombre de Pages</w:t>
            </w:r>
          </w:p>
        </w:tc>
        <w:tc>
          <w:tcPr>
            <w:tcW w:type="dxa" w:w="7000"/>
          </w:tcPr>
          <w:p>
            <w:r>
              <w:t>613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Quickstart visuel(N°:None)</w:t>
            </w:r>
          </w:p>
        </w:tc>
      </w:tr>
      <w:tr>
        <w:trPr>
          <w:trHeight w:val="567"/>
        </w:trPr>
        <w:tc>
          <w:tcPr>
            <w:tcW w:type="dxa" w:w="3000"/>
          </w:tcPr>
          <w:p>
            <w:r>
              <w:t>Notes Générales</w:t>
            </w:r>
          </w:p>
        </w:tc>
        <w:tc>
          <w:tcPr>
            <w:tcW w:type="dxa" w:w="7000"/>
          </w:tcPr>
          <w:p>
            <w:r>
              <w:t>Annexe p.p. 596 Index p.p. 597-613</w:t>
            </w:r>
          </w:p>
        </w:tc>
      </w:tr>
      <w:tr>
        <w:trPr>
          <w:trHeight w:val="567"/>
        </w:trPr>
        <w:tc>
          <w:tcPr>
            <w:tcW w:type="dxa" w:w="3000"/>
          </w:tcPr>
          <w:p>
            <w:r>
              <w:t>Numéro d'Identification</w:t>
            </w:r>
          </w:p>
        </w:tc>
        <w:tc>
          <w:tcPr>
            <w:tcW w:type="dxa" w:w="7000"/>
          </w:tcPr>
          <w:p>
            <w:r>
              <w:t>2744080071</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internet/ DHTML ( langage de balisage)/ </w:t>
            </w:r>
          </w:p>
        </w:tc>
      </w:tr>
    </w:tbl>
    <w:p>
      <w:pPr>
        <w:pStyle w:val="Heading3"/>
      </w:pPr>
      <w:r>
        <w:t>Résumé :</w:t>
      </w:r>
    </w:p>
    <w:p>
      <w:r>
        <w:t>Destiné aux designers et créateurs de contenu, pas seulement aux programmeurs.</w:t>
        <w:br/>
        <w:br/>
        <w:t>Ce format visuel, basé sur les tâches, est idéal pour se familiariser avec le DHTML.</w:t>
        <w:br/>
        <w:br/>
        <w:t>Cette deuxième édition, révisée et augmentée, est à jour sur les normes Web et les navigateurs actuels. Elle inclut toutes les nouvelles informations sur l'utilisation du DHTML pour obtenir des informations sur l'environnement du navigateur et ajouter du contenu multimédia à un site, ainsi que de nouvelles techniques dynamiques de base et avancées, telles que l'apparition et la disparition d'objets, le déplacement d'objets en 3D et l'ajout de contenu dynamique. Cette édition offre une couverture complète multiplateforme et multi-navigateurs. Ce livre ne se concentre pas sur les aspects les plus complexes du DHTML, mais se concentre sur des exemples pratiques de ce qui fonctionne réellement avec le DHTML et les CSS. Il est donc utile aux débutants en DHTML comme aux développeurs professionnels à la recherche d'un guide de référence rapide.</w:t>
        <w:br/>
        <w:br/>
        <w:br/>
        <w:br/>
        <w:t>L'auteur - Jason Cranford Teague</w:t>
        <w:br/>
        <w:br/>
        <w:t>Jason Cranford Teague est titulaire d'un master en communication technique du Rensselaer Polytechnic Institute, où il a découvert le World Wide Web en 1994, à l'époque obscure. Au RPI, il a été directeur artistique de The Computer Mediated Communications Magazine, l'un des premiers magazines entièrement en ligne, et a cofondé KAIROS, une revue en ligne destinée aux enseignants travaillant dans des environnements web.</w:t>
        <w:br/>
        <w:br/>
        <w:br/>
        <w:br/>
        <w:t>Depuis, il a travaillé chez IBM comme rédacteur technique, chez Persimmon IT comme concepteur web (notamment pour Siemens et Digital) et a été consultant pour le site web de l'Agence spatiale européenne (ESA) alors qu'il travaillait en freelance à Londres. Il a beaucoup écrit sur la conception web pour l'Apple Developers Center, Adobe, C|Net, Tripod et The Independent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