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L'eau dans l'espace rural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Neveu, A./ Riou, C./ Bonhomme, R./ Chassin, P./ </w:t>
            </w:r>
          </w:p>
        </w:tc>
      </w:tr>
      <w:tr>
        <w:trPr>
          <w:trHeight w:val="567"/>
        </w:trPr>
        <w:tc>
          <w:tcPr>
            <w:tcW w:type="dxa" w:w="3000"/>
          </w:tcPr>
          <w:p>
            <w:r>
              <w:t>Adresse bib.</w:t>
            </w:r>
          </w:p>
        </w:tc>
        <w:tc>
          <w:tcPr>
            <w:tcW w:type="dxa" w:w="7000"/>
          </w:tcPr>
          <w:p>
            <w:r>
              <w:t xml:space="preserve">Institut national de la recherche agronomique/ </w:t>
            </w:r>
          </w:p>
        </w:tc>
      </w:tr>
      <w:tr>
        <w:trPr>
          <w:trHeight w:val="567"/>
        </w:trPr>
        <w:tc>
          <w:tcPr>
            <w:tcW w:type="dxa" w:w="3000"/>
          </w:tcPr>
          <w:p>
            <w:r>
              <w:t>Nombre de Pages</w:t>
            </w:r>
          </w:p>
        </w:tc>
        <w:tc>
          <w:tcPr>
            <w:tcW w:type="dxa" w:w="7000"/>
          </w:tcPr>
          <w:p>
            <w:r>
              <w:t>284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Mieux comprendre(N°:None)</w:t>
            </w:r>
          </w:p>
        </w:tc>
      </w:tr>
      <w:tr>
        <w:trPr>
          <w:trHeight w:val="567"/>
        </w:trPr>
        <w:tc>
          <w:tcPr>
            <w:tcW w:type="dxa" w:w="3000"/>
          </w:tcPr>
          <w:p>
            <w:r>
              <w:t>Notes Générales</w:t>
            </w:r>
          </w:p>
        </w:tc>
        <w:tc>
          <w:tcPr>
            <w:tcW w:type="dxa" w:w="7000"/>
          </w:tcPr>
          <w:p>
            <w:r>
              <w:t>bibliogr. Glossaire. Index</w:t>
            </w:r>
          </w:p>
        </w:tc>
      </w:tr>
      <w:tr>
        <w:trPr>
          <w:trHeight w:val="567"/>
        </w:trPr>
        <w:tc>
          <w:tcPr>
            <w:tcW w:type="dxa" w:w="3000"/>
          </w:tcPr>
          <w:p>
            <w:r>
              <w:t>Numéro d'Identification</w:t>
            </w:r>
          </w:p>
        </w:tc>
        <w:tc>
          <w:tcPr>
            <w:tcW w:type="dxa" w:w="7000"/>
          </w:tcPr>
          <w:p>
            <w:r>
              <w:t>2738009689</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écologie des eaux/ </w:t>
            </w:r>
          </w:p>
        </w:tc>
      </w:tr>
    </w:tbl>
    <w:p>
      <w:pPr>
        <w:pStyle w:val="Heading3"/>
      </w:pPr>
      <w:r>
        <w:t>Résumé :</w:t>
      </w:r>
    </w:p>
    <w:p>
      <w:r>
        <w:t>L’eau est ici abordée comme support essentiel d’une vie aquatique continentale riche et exploitable, centrée sur des milieux peu perturbés comme les rivières à truites et les lacs péri-alpins. Cet ouvrage, second volume de la série L’eau dans l’espace rural (après Production végétale et qualité de l’eau, INRA, 1997), explique la complexité des écosystèmes et l’interdépendance des compartiments biologiques. Le phénomène d’eutrophisation et la logique du « tout-à-l’eau » sont analysés, avec leurs impacts sur les ressources aquatiques. L’ouvrage présente également les outils de bio-indication et décrit la sensibilité de différents groupes aquatiques face aux perturbations. Enfin, une approche prospective est proposée afin d’intégrer le fonctionnement global des écosystèmes et d’évaluer les effets non intentionnels des polluants.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