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asservis linéaires et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Chauveau, Jean Claude/ </w:t>
            </w:r>
          </w:p>
        </w:tc>
      </w:tr>
      <w:tr>
        <w:trPr>
          <w:trHeight w:val="567"/>
        </w:trPr>
        <w:tc>
          <w:tcPr>
            <w:tcW w:type="dxa" w:w="3000"/>
          </w:tcPr>
          <w:p>
            <w:r>
              <w:t>Adresse bib.</w:t>
            </w:r>
          </w:p>
        </w:tc>
        <w:tc>
          <w:tcPr>
            <w:tcW w:type="dxa" w:w="7000"/>
          </w:tcPr>
          <w:p>
            <w:r>
              <w:t xml:space="preserve">Éducalivre-Éd. Casteilla/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 Capliez(N°:None)</w:t>
            </w:r>
          </w:p>
        </w:tc>
      </w:tr>
      <w:tr>
        <w:trPr>
          <w:trHeight w:val="567"/>
        </w:trPr>
        <w:tc>
          <w:tcPr>
            <w:tcW w:type="dxa" w:w="3000"/>
          </w:tcPr>
          <w:p>
            <w:r>
              <w:t>Numéro d'Identification</w:t>
            </w:r>
          </w:p>
        </w:tc>
        <w:tc>
          <w:tcPr>
            <w:tcW w:type="dxa" w:w="7000"/>
          </w:tcPr>
          <w:p>
            <w:r>
              <w:t>2713515211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systèmes asservis/ fonction de transfert/ </w:t>
            </w:r>
          </w:p>
        </w:tc>
      </w:tr>
    </w:tbl>
    <w:p>
      <w:pPr>
        <w:pStyle w:val="Heading3"/>
      </w:pPr>
      <w:r>
        <w:t>Résumé :</w:t>
      </w:r>
    </w:p>
    <w:p>
      <w:r>
        <w:t>Ce manuel est un excellent guide d’apprentissage de l’asservissement, idéal pour les étudiants souhaitant à la fois comprendre les fondements théoriques et maîtriser la résolution de problèmes concrets. Il constitue une référence incontournable pour la préparation des examens, la manipulation de systèmes asservis, aussi bien linéaires que non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