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Débuter en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Perry, Greg/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p.p.439-460</w:t>
            </w:r>
          </w:p>
        </w:tc>
      </w:tr>
      <w:tr>
        <w:trPr>
          <w:trHeight w:val="567"/>
        </w:trPr>
        <w:tc>
          <w:tcPr>
            <w:tcW w:type="dxa" w:w="3000"/>
          </w:tcPr>
          <w:p>
            <w:r>
              <w:t>Numéro d'Identification</w:t>
            </w:r>
          </w:p>
        </w:tc>
        <w:tc>
          <w:tcPr>
            <w:tcW w:type="dxa" w:w="7000"/>
          </w:tcPr>
          <w:p>
            <w:r>
              <w:t>2744007412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microordinateurs/ programmation/ </w:t>
            </w:r>
          </w:p>
        </w:tc>
      </w:tr>
    </w:tbl>
    <w:p>
      <w:pPr>
        <w:pStyle w:val="Heading3"/>
      </w:pPr>
      <w:r>
        <w:t>Résumé :</w:t>
      </w:r>
    </w:p>
    <w:p>
      <w:r>
        <w:t>C'est une référence accessible aux débutants, offrant une progression structurée à travers plusieurs langages et une initiation concrète au raisonnement algorithmique. Malgré une orientation historique et quelques imprécisions techniques, le livre reste un bon tremplin pour comprendre les bases, se familiariser avec différents paradigmes et se lancer dans la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