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Lotus Notes 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Plumley, Sue/ Plumley, Sue/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Minidoc(N°:None)</w:t>
            </w:r>
          </w:p>
        </w:tc>
      </w:tr>
      <w:tr>
        <w:trPr>
          <w:trHeight w:val="567"/>
        </w:trPr>
        <w:tc>
          <w:tcPr>
            <w:tcW w:type="dxa" w:w="3000"/>
          </w:tcPr>
          <w:p>
            <w:r>
              <w:t>Notes Générales</w:t>
            </w:r>
          </w:p>
        </w:tc>
        <w:tc>
          <w:tcPr>
            <w:tcW w:type="dxa" w:w="7000"/>
          </w:tcPr>
          <w:p>
            <w:r>
              <w:t>Index p.p.253-259</w:t>
            </w:r>
          </w:p>
        </w:tc>
      </w:tr>
      <w:tr>
        <w:trPr>
          <w:trHeight w:val="567"/>
        </w:trPr>
        <w:tc>
          <w:tcPr>
            <w:tcW w:type="dxa" w:w="3000"/>
          </w:tcPr>
          <w:p>
            <w:r>
              <w:t>Numéro d'Identification</w:t>
            </w:r>
          </w:p>
        </w:tc>
        <w:tc>
          <w:tcPr>
            <w:tcW w:type="dxa" w:w="7000"/>
          </w:tcPr>
          <w:p>
            <w:r>
              <w:t>2744002135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lotus note (logiciel)/ </w:t>
            </w:r>
          </w:p>
        </w:tc>
      </w:tr>
    </w:tbl>
    <w:p>
      <w:pPr>
        <w:pStyle w:val="Heading3"/>
      </w:pPr>
      <w:r>
        <w:t>Résumé :</w:t>
      </w:r>
    </w:p>
    <w:p>
      <w:r>
        <w:t>Un manuel pragmatique et rapide, parfait pour les utilisateurs débutants ou professionnels ayant peu de temps, souhaitant se familiariser avec Lotus Notes 4.5 pour gérer mails, calendriers, bases de données et configuration de base. Souhaitez-vous un aperçu chapitre par chapitre ou un équivalent moderne pour des versions récentes comme Notes/Domino 8 ou 9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