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Référencement de votre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Prat, Marie/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279-285</w:t>
            </w:r>
          </w:p>
        </w:tc>
      </w:tr>
      <w:tr>
        <w:trPr>
          <w:trHeight w:val="567"/>
        </w:trPr>
        <w:tc>
          <w:tcPr>
            <w:tcW w:type="dxa" w:w="3000"/>
          </w:tcPr>
          <w:p>
            <w:r>
              <w:t>Numéro d'Identification</w:t>
            </w:r>
          </w:p>
        </w:tc>
        <w:tc>
          <w:tcPr>
            <w:tcW w:type="dxa" w:w="7000"/>
          </w:tcPr>
          <w:p>
            <w:r>
              <w:t>9782746080256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maillage interne/ contenu web/ </w:t>
            </w:r>
          </w:p>
        </w:tc>
      </w:tr>
    </w:tbl>
    <w:p>
      <w:pPr>
        <w:pStyle w:val="Heading3"/>
      </w:pPr>
      <w:r>
        <w:t>Résumé :</w:t>
      </w:r>
    </w:p>
    <w:p>
      <w:r>
        <w:t>Cet ouvrage est un guide pratique destiné aux webmasters, blogueurs, entrepreneurs ou responsables de site qui souhaitent améliorer le positionnement de leur site sur Google et autres moteurs de recherche. Il propose une méthode structurée et accessible pour mettre en place un bon référencement naturel (SEO).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