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des animaux. T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Anselme, Bruno/ Baehr, Jean-Claude/ Chaffard, Joël/ Méreaux, Jacques/ Richard,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Fac.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348-350.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209190726X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physiologie/ </w:t>
            </w:r>
          </w:p>
        </w:tc>
      </w:tr>
    </w:tbl>
    <w:p>
      <w:pPr>
        <w:pStyle w:val="Heading3"/>
      </w:pPr>
      <w:r>
        <w:t>Résumé :</w:t>
      </w:r>
    </w:p>
    <w:p>
      <w:r>
        <w:t>Tome 2 du manuel propose une synthèse riche et comparative des mécanismes physiologiques régissant :</w:t>
        <w:br/>
        <w:br/>
        <w:t>Reproduction &amp; développement,</w:t>
        <w:br/>
        <w:br/>
        <w:t>Interactions avec l’environnement via les fonctions de relation,</w:t>
        <w:br/>
        <w:br/>
        <w:t>Maintien de l’équilibre interne (homéostasie).</w:t>
        <w:br/>
        <w:br/>
        <w:t>Chaque sujet est traité en lien avec les conditions environnementales, en illustrant adaptations physiologiques et anatomiques à travers le règne animal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