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oscillateurs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Couturier,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2729822909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oscillateur sinusoïdal/ stabilité de fréquence/ </w:t>
            </w:r>
          </w:p>
        </w:tc>
      </w:tr>
    </w:tbl>
    <w:p>
      <w:pPr>
        <w:pStyle w:val="Heading3"/>
      </w:pPr>
      <w:r>
        <w:t>Résumé :</w:t>
      </w:r>
    </w:p>
    <w:p>
      <w:r>
        <w:t>L'ouvrage (niveau B) :</w:t>
        <w:br/>
        <w:br/>
        <w:t>Pour tous les étudiants en EEA (IUT, BTS, licence) et pour tous ceux qui veulent comprendre le fonctionnement des oscillateurs et des résonateurs piézoélectriques ou connaître leurs applications, l'ouvrage propose une approche pédagogique originale, mettant essentiellement en avant les aspects physiques. Cette approche très démonstrative y est aussi rendue rigoureuse par un usage de l'outil mathématique à la fois judicieux et économe.</w:t>
        <w:br/>
        <w:br/>
        <w:t>Partant des structures les plus simples, il en développe les conditions d'oscillation, la stabilité, la non-linéarité, le démarrage, le bruit de fond… Il analyse ensuite la piézoélectricité. Puis il progresse en présentant deux oscillateurs classiques (Pierce et Colpitts) et il termine avec le microscope de force atomique.</w:t>
        <w:br/>
        <w:br/>
        <w:t>Dans chaque chapitre sont présentés les aspects théoriques, puis des expériences clefs en main et une série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