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industrielle des moteurs à courant 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313-319.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2743004908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courant alternatif/ démarrage des moteurs/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électrotechniciens et aux électromécaniciens, ingénieurs ou techniciens de tous horizons : entreprises d'installation et de maintenance électrique, exploitants d'équipements industriels, bureaux d'études en ingénierie électrique et, d'une manière générale, à toutes les personnes impliquées dans l'utilisation des moteurs industriels à courant alternatif. Ce livre complète aussi la documentation pédagogique par un apport de données issues de l'expérience. Aussi sera-t-il consulté avec profit par les enseignants et étudiants des écoles d'ingénieurs, des maîtrises scientifiques, des IUT et des STS. Il est composé de cinq chapitres abordant successivement : les problèmes liés aux roulements, à l'isolation, aux échauffements, aux bruits générés, aux vibrations , les critères de choix du moteur sous les aspects techniques et économiques , les caractéristiques du moteur asynchrone alimenté par le réseau à tension et fréquence constantes, les problèmes liés aux démarrages à fréquence fixe et l'analyse des origines des défauts internes des ces types de moteurs , l'étude du démarrage du moteur synchrone à inducteur bobiné alimenté par le réseau et son accrochage , un aperçu des principaux types de variateurs électroniques utilisés pour réaliser des entraînements à vitesse variable avec ce type de moteur.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