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générales.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usuelle/ équation différentielle simple/ </w:t>
            </w:r>
          </w:p>
        </w:tc>
      </w:tr>
    </w:tbl>
    <w:p>
      <w:pPr>
        <w:pStyle w:val="Heading3"/>
      </w:pPr>
      <w:r>
        <w:t>Résumé :</w:t>
      </w:r>
    </w:p>
    <w:p>
      <w:r>
        <w:t>Ce tome propose une synthèse rigoureuse des techniques analytiques indispensables :</w:t>
        <w:br/>
        <w:br/>
        <w:t>Des fondamentaux de l’intégration aux applications pratiques,</w:t>
        <w:br/>
        <w:br/>
        <w:t>De l’étude détaillée des fonctions usuelles aux méthodes de résolution des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