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industrielle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Nussbaumer,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p.p.261-271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9782880741009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reseaux locaux (LAN)/ IP / IPv6/ </w:t>
            </w:r>
          </w:p>
        </w:tc>
      </w:tr>
    </w:tbl>
    <w:p>
      <w:pPr>
        <w:pStyle w:val="Heading3"/>
      </w:pPr>
      <w:r>
        <w:t>Résumé :</w:t>
      </w:r>
    </w:p>
    <w:p>
      <w:r>
        <w:t>Contenu Structure des systèmes d'informatique industrielle - Processus industriels - Les systèmes d'informatique industrielle - Composants - Caractéristiques particulières - Représentation de l'information et opérations élémentaires - Nombres entiers positifs - Nombres réels - Nombres négatifs - Représentation des caractères - Représentation des instructions - Opérations de conversion - Opérations mathématiques - Opérations de comparaison - Opérations logiques - Opérations de transfert - Les ordinateurs - Principe de fonctionnement - Structure des instructions et techniques d'adressage - Ruptures de séquence et changement de contexte - Instructions de contrôle - Instructions indivisibles - Dispositifs de gestion mémoire.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