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 : services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Lohier, Stéphane/ Présent,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207-209</w:t>
            </w:r>
          </w:p>
        </w:tc>
      </w:tr>
      <w:tr>
        <w:trPr>
          <w:trHeight w:val="567"/>
        </w:trPr>
        <w:tc>
          <w:tcPr>
            <w:tcW w:type="dxa" w:w="3000"/>
          </w:tcPr>
          <w:p>
            <w:r>
              <w:t>Numéro d'Identification</w:t>
            </w:r>
          </w:p>
        </w:tc>
        <w:tc>
          <w:tcPr>
            <w:tcW w:type="dxa" w:w="7000"/>
          </w:tcPr>
          <w:p>
            <w:r>
              <w:t>2100064924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adresse IP/ client-serveur/ </w:t>
            </w:r>
          </w:p>
        </w:tc>
      </w:tr>
    </w:tbl>
    <w:p>
      <w:pPr>
        <w:pStyle w:val="Heading3"/>
      </w:pPr>
      <w:r>
        <w:t>Résumé :</w:t>
      </w:r>
    </w:p>
    <w:p>
      <w:r>
        <w:t>Cet ouvrage  est un livre pédagogique complet destiné aux étudiants en informatique, en BTS, DUT, licence professionnelle ou école d'ingénieurs, ainsi qu’aux autodidactes souhaitant acquérir une compréhension approfondie d'Internet, de ses services et de ses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