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L'aménagement fonctionnel en synthèse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J/ Panico, R/ Weill Raynal, J/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Index p.p. 371-379</w:t>
            </w:r>
          </w:p>
        </w:tc>
      </w:tr>
      <w:tr>
        <w:trPr>
          <w:trHeight w:val="567"/>
        </w:trPr>
        <w:tc>
          <w:tcPr>
            <w:tcW w:type="dxa" w:w="3000"/>
          </w:tcPr>
          <w:p>
            <w:r>
              <w:t>Numéro d'Identification</w:t>
            </w:r>
          </w:p>
        </w:tc>
        <w:tc>
          <w:tcPr>
            <w:tcW w:type="dxa" w:w="7000"/>
          </w:tcPr>
          <w:p>
            <w:r>
              <w:t>2705613862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acide acétique/ oxyde d'éthyle/ </w:t>
            </w:r>
          </w:p>
        </w:tc>
      </w:tr>
    </w:tbl>
    <w:p>
      <w:pPr>
        <w:pStyle w:val="Heading3"/>
      </w:pPr>
      <w:r>
        <w:t>Résumé :</w:t>
      </w:r>
    </w:p>
    <w:p>
      <w:r>
        <w:t>Cet ouvrage de référence de 1977 met en avant toute la palette des transformations chimiques utiles pour ajuster finement les fonctions d’une molécule au cours d’une synthèse organique, insistant sur leur rôle essentiel dans les stratégies de synthèse, leur classification et leur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