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d'analyse du risque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Martel, Bernard/ Guette, Jean Paul/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494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471-494</w:t>
            </w:r>
          </w:p>
        </w:tc>
      </w:tr>
      <w:tr>
        <w:trPr>
          <w:trHeight w:val="567"/>
        </w:trPr>
        <w:tc>
          <w:tcPr>
            <w:tcW w:type="dxa" w:w="3000"/>
          </w:tcPr>
          <w:p>
            <w:r>
              <w:t>Numéro d'Identification</w:t>
            </w:r>
          </w:p>
        </w:tc>
        <w:tc>
          <w:tcPr>
            <w:tcW w:type="dxa" w:w="7000"/>
          </w:tcPr>
          <w:p>
            <w:r>
              <w:t>2100046969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facteur matiere/ halogenure de phosphore/ </w:t>
            </w:r>
          </w:p>
        </w:tc>
      </w:tr>
    </w:tbl>
    <w:p>
      <w:pPr>
        <w:pStyle w:val="Heading3"/>
      </w:pPr>
      <w:r>
        <w:t>Résumé :</w:t>
      </w:r>
    </w:p>
    <w:p>
      <w:r>
        <w:t>Ce guide est un référentiel méthodologique complet pour la gestion du risque chimique, combinant danger, exposition, évaluation et mesures correctives. Il s’adresse aussi bien aux praticiens qu’aux formateurs, avec une approche progressive et adaptable selon l’urgence de la situation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