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Monin, Benoît/ Patey, Ludovic/ </w:t>
            </w:r>
          </w:p>
        </w:tc>
      </w:tr>
      <w:tr>
        <w:trPr>
          <w:trHeight w:val="567"/>
        </w:trPr>
        <w:tc>
          <w:tcPr>
            <w:tcW w:type="dxa" w:w="3000"/>
          </w:tcPr>
          <w:p>
            <w:r>
              <w:t>Adresse bib.</w:t>
            </w:r>
          </w:p>
        </w:tc>
        <w:tc>
          <w:tcPr>
            <w:tcW w:type="dxa" w:w="7000"/>
          </w:tcPr>
          <w:p>
            <w:r>
              <w:t xml:space="preserve">Calvage &amp; Mounet/ </w:t>
            </w:r>
          </w:p>
        </w:tc>
      </w:tr>
      <w:tr>
        <w:trPr>
          <w:trHeight w:val="567"/>
        </w:trPr>
        <w:tc>
          <w:tcPr>
            <w:tcW w:type="dxa" w:w="3000"/>
          </w:tcPr>
          <w:p>
            <w:r>
              <w:t>Nombre de Pages</w:t>
            </w:r>
          </w:p>
        </w:tc>
        <w:tc>
          <w:tcPr>
            <w:tcW w:type="dxa" w:w="7000"/>
          </w:tcPr>
          <w:p>
            <w:r>
              <w:t>828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Tableau noir(N°:None)</w:t>
            </w:r>
          </w:p>
        </w:tc>
      </w:tr>
      <w:tr>
        <w:trPr>
          <w:trHeight w:val="567"/>
        </w:trPr>
        <w:tc>
          <w:tcPr>
            <w:tcW w:type="dxa" w:w="3000"/>
          </w:tcPr>
          <w:p>
            <w:r>
              <w:t>Notes Générales</w:t>
            </w:r>
          </w:p>
        </w:tc>
        <w:tc>
          <w:tcPr>
            <w:tcW w:type="dxa" w:w="7000"/>
          </w:tcPr>
          <w:p>
            <w:r>
              <w:t>Bibliogr. p.p. 793-808. Index</w:t>
            </w:r>
          </w:p>
        </w:tc>
      </w:tr>
      <w:tr>
        <w:trPr>
          <w:trHeight w:val="567"/>
        </w:trPr>
        <w:tc>
          <w:tcPr>
            <w:tcW w:type="dxa" w:w="3000"/>
          </w:tcPr>
          <w:p>
            <w:r>
              <w:t>Numéro d'Identification</w:t>
            </w:r>
          </w:p>
        </w:tc>
        <w:tc>
          <w:tcPr>
            <w:tcW w:type="dxa" w:w="7000"/>
          </w:tcPr>
          <w:p>
            <w:r>
              <w:t>9782916352961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fonction calculable/ mathématique à rebour/ </w:t>
            </w:r>
          </w:p>
        </w:tc>
      </w:tr>
    </w:tbl>
    <w:p>
      <w:pPr>
        <w:pStyle w:val="Heading3"/>
      </w:pPr>
      <w:r>
        <w:t>Résumé :</w:t>
      </w:r>
    </w:p>
    <w:p>
      <w:r>
        <w:t>Au début du vingtième siècle, un petit groupe de logiciens et mathématiciens comprend et formalise, plusieurs décennies avant l'apparition des premiers ordinateurs, le concept de calcul et de fonction calculable. Leurs travaux vont constituer une base théorique solide sur laquelle se fondera l'informatique et ses nombreuses ramifications. C'est toutefois une histoire moins connue, mais issue des mêmes travaux que se proposent de nous raconter les auteurs du présent ouvrage : celle de la calculabilité, discipline qui étudie les objets mathématiques sous le prisme de leur complexité calculatoire, et qui étudie en particulier les objets mathématiques incalculables.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