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du fortran 77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Lignelet, Ptrice/ </w:t>
            </w:r>
          </w:p>
        </w:tc>
      </w:tr>
      <w:tr>
        <w:trPr>
          <w:trHeight w:val="567"/>
        </w:trPr>
        <w:tc>
          <w:tcPr>
            <w:tcW w:type="dxa" w:w="3000"/>
          </w:tcPr>
          <w:p>
            <w:r>
              <w:t>Edition</w:t>
            </w:r>
          </w:p>
        </w:tc>
        <w:tc>
          <w:tcPr>
            <w:tcW w:type="dxa" w:w="7000"/>
          </w:tcPr>
          <w:p>
            <w:r>
              <w:t>2 ème édition</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290360746x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fortran 77/ programmation impérative/ </w:t>
            </w:r>
          </w:p>
        </w:tc>
      </w:tr>
    </w:tbl>
    <w:p>
      <w:pPr>
        <w:pStyle w:val="Heading3"/>
      </w:pPr>
      <w:r>
        <w:t>Résumé :</w:t>
      </w:r>
    </w:p>
    <w:p>
      <w:r>
        <w:t>Ce manuel est structuré autour de 77 exercices résolus, couvrant les aspects essentiels de Fortran 77. Il est conçu pour guider le lecteur, étape par étape, dans la compréhension et l'application des différentes fonctionnalités du langage. Chaque exercice est accompagné d'une solution détaillée, facilitant ainsi l'apprentissage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