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Liberty, Jesse/ Adam, Laurent/ </w:t>
            </w:r>
          </w:p>
        </w:tc>
      </w:tr>
      <w:tr>
        <w:trPr>
          <w:trHeight w:val="567"/>
        </w:trPr>
        <w:tc>
          <w:tcPr>
            <w:tcW w:type="dxa" w:w="3000"/>
          </w:tcPr>
          <w:p>
            <w:r>
              <w:t>Adresse bib.</w:t>
            </w:r>
          </w:p>
        </w:tc>
        <w:tc>
          <w:tcPr>
            <w:tcW w:type="dxa" w:w="7000"/>
          </w:tcPr>
          <w:p>
            <w:r>
              <w:t xml:space="preserve">Simon et Schuster Macmillan/ </w:t>
            </w:r>
          </w:p>
        </w:tc>
      </w:tr>
      <w:tr>
        <w:trPr>
          <w:trHeight w:val="567"/>
        </w:trPr>
        <w:tc>
          <w:tcPr>
            <w:tcW w:type="dxa" w:w="3000"/>
          </w:tcPr>
          <w:p>
            <w:r>
              <w:t>Nombre de Pages</w:t>
            </w:r>
          </w:p>
        </w:tc>
        <w:tc>
          <w:tcPr>
            <w:tcW w:type="dxa" w:w="7000"/>
          </w:tcPr>
          <w:p>
            <w:r>
              <w:t>398 p.</w:t>
            </w:r>
          </w:p>
        </w:tc>
      </w:tr>
      <w:tr>
        <w:trPr>
          <w:trHeight w:val="567"/>
        </w:trPr>
        <w:tc>
          <w:tcPr>
            <w:tcW w:type="dxa" w:w="3000"/>
          </w:tcPr>
          <w:p>
            <w:r>
              <w:t>Illustration</w:t>
            </w:r>
          </w:p>
        </w:tc>
        <w:tc>
          <w:tcPr>
            <w:tcW w:type="dxa" w:w="7000"/>
          </w:tcPr>
          <w:p>
            <w:r>
              <w:t>ill., couv.ill. en coul .</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 grand poche(N°:None)</w:t>
            </w:r>
          </w:p>
        </w:tc>
      </w:tr>
      <w:tr>
        <w:trPr>
          <w:trHeight w:val="567"/>
        </w:trPr>
        <w:tc>
          <w:tcPr>
            <w:tcW w:type="dxa" w:w="3000"/>
          </w:tcPr>
          <w:p>
            <w:r>
              <w:t>Notes Générales</w:t>
            </w:r>
          </w:p>
        </w:tc>
        <w:tc>
          <w:tcPr>
            <w:tcW w:type="dxa" w:w="7000"/>
          </w:tcPr>
          <w:p>
            <w:r>
              <w:t>Index p.p.390-398</w:t>
            </w:r>
          </w:p>
        </w:tc>
      </w:tr>
      <w:tr>
        <w:trPr>
          <w:trHeight w:val="567"/>
        </w:trPr>
        <w:tc>
          <w:tcPr>
            <w:tcW w:type="dxa" w:w="3000"/>
          </w:tcPr>
          <w:p>
            <w:r>
              <w:t>Numéro d'Identification</w:t>
            </w:r>
          </w:p>
        </w:tc>
        <w:tc>
          <w:tcPr>
            <w:tcW w:type="dxa" w:w="7000"/>
          </w:tcPr>
          <w:p>
            <w:r>
              <w:t>2744003204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 plus plus  ( langage de programmation)/ </w:t>
            </w:r>
          </w:p>
        </w:tc>
      </w:tr>
    </w:tbl>
    <w:p>
      <w:pPr>
        <w:pStyle w:val="Heading3"/>
      </w:pPr>
      <w:r>
        <w:t>Résumé :</w:t>
      </w:r>
    </w:p>
    <w:p>
      <w:r>
        <w:t>Cet ouvrage vous guide dans l'apprentissage du C++ en abordant les concepts fondamentaux tels que la syntaxe du langage, les variables, les structures de contrôle, les fonctions, les classes, l'héritage, le polymorphisme, les pointeurs, les références, ainsi que la gestion des erreurs et des exceptions. Il propose des exemples concrets et des exercices pour faciliter la compréhension et l'application des concepts.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