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Toutes les applications de maple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Alain, Leroux/ Pomès,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supérieur. Série Enseignement supérieur &amp;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série d'exemples illustrant l'utilisation de Maple dans les domaines suivants :</w:t>
        <w:br/>
        <w:br/>
        <w:br/>
        <w:br/>
        <w:t>Physique : électrostatique, magnétisme, électronique, mécanique, optique, ondes.</w:t>
        <w:br/>
        <w:br/>
        <w:br/>
        <w:br/>
        <w:t>Chimie : chimie des solutions, cinétique chimique.</w:t>
        <w:br/>
        <w:br/>
        <w:br/>
        <w:br/>
        <w:t>Mathématiques : suites et séries, courbes paramétrées, quadriques, programmation.</w:t>
        <w:br/>
        <w:br/>
        <w:t>fr.wikipedia.org</w:t>
        <w:br/>
        <w:br/>
        <w:t>+2</w:t>
        <w:br/>
        <w:br/>
        <w:t>eyrolles.com</w:t>
        <w:br/>
        <w:br/>
        <w:t>+2</w:t>
        <w:br/>
        <w:br/>
        <w:t>cepadues.com</w:t>
        <w:br/>
        <w:br/>
        <w:t>+2</w:t>
        <w:br/>
        <w:br/>
        <w:br/>
        <w:br/>
        <w:t>Chaque chapitre est conçu pour être accessible aux étudiants, avec des rappels sur les structures de données et des exemples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