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problemes de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Lallemand, André/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9782729864934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bl>
    <w:p>
      <w:pPr>
        <w:pStyle w:val="Heading3"/>
      </w:pPr>
      <w:r>
        <w:t>Résumé :</w:t>
      </w:r>
    </w:p>
    <w:p>
      <w:r>
        <w:t>L'ouvrage propose des rappels de cours et des exercices et problèmes corrigés résolument orientés vers les applications aux systèmes énergétiques.</w:t>
        <w:br/>
        <w:br/>
        <w:t>Les premiers chapitres portent sur les principes de la thermodynamique et les transformations de base mettant en oeuvre les fonctions d'état et les échanges énergétiques. Ils concernent également les caractéristiques théoriques ou réelles des fluides avec les évolutions associées.</w:t>
        <w:br/>
        <w:br/>
        <w:t>Les chapitres suivants traitent de deux aspects particuliers : celui de l'air humide (en vue du traitement de l'air et de la climatisation) et celui de l'énergétique de la combustion.</w:t>
        <w:br/>
        <w:br/>
        <w:t>Enfin un important chapitre développe des problèmes de synthèse ciblés sur des applications techniques : procédés industriels, générateurs de vapeur, moteurs alternatifs à combustion interne, turbines à gaz, turboréacteurs, chauffage et climatisation.</w:t>
        <w:br/>
        <w:br/>
        <w:t>Dans un but pédagogique, l'utilisation des tables et des diagrammes thermodynamiques est préférée aux traitements informatisés.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