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mécanismes de la corrosion sèche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Sarrazin, P/ Fouletier, J/ Galerie, A/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XIII-334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Monographie de matérialogie(N°:None)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2868834728</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corrosion sèche/ atmosphère/ mécanisme/ </w:t>
            </w:r>
          </w:p>
        </w:tc>
      </w:tr>
    </w:tbl>
    <w:p>
      <w:pPr>
        <w:pStyle w:val="Heading3"/>
      </w:pPr>
      <w:r>
        <w:t>Résumé :</w:t>
      </w:r>
    </w:p>
    <w:p>
      <w:r>
        <w:t>La corrosion sèche désigne la dégradation des métaux sans présence d'eau liquide, généralement due à des réactions chimiques avec l'atmosphère, comme l'oxydation. Elle implique des mécanismes spécifiques où les métaux réagissent directement avec l'oxygène ou d'autres agents chimiques, entraînant la formation de couches protectrices ou, au contraire, la dégradation du matériau. La compréhension de ces mécanismes est essentielle pour prévenir la corrosion et prolonger la durée de vie des matériaux métalliques dans divers environnements.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