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Butin, Frédéric/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 Edition/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314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Méthodes :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9782705680633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</w:t>
            </w:r>
          </w:p>
        </w:tc>
      </w:tr>
    </w:tbl>
    <w:p>
      <w:pPr>
        <w:pStyle w:val="Heading3"/>
      </w:pPr>
      <w:r>
        <w:t>Résumé :</w:t>
      </w:r>
    </w:p>
    <w:p>
      <w:r>
        <w:t>A l'instar de Monsieur Jourdain et de sa prose, chacun "fait" de la théorie de Galois sans le savoir, parce qu'il a appris un jour que la quadrature de cercle et de résolution par radicaux des équations de degré supérieur ou égal à cinq sont impossibles. Cependant, l'intérêt de la théorie de Galois réside surtout dans la correspondance qu'elle établie entre des corps et des groupes, correspondance utilisée dans de nombreuses applications pratiques.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