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Géométries et mesures fractales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Tricot,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433-434. Index</w:t>
            </w:r>
          </w:p>
        </w:tc>
      </w:tr>
      <w:tr>
        <w:trPr>
          <w:trHeight w:val="567"/>
        </w:trPr>
        <w:tc>
          <w:tcPr>
            <w:tcW w:type="dxa" w:w="3000"/>
          </w:tcPr>
          <w:p>
            <w:r>
              <w:t>Numéro d'Identification</w:t>
            </w:r>
          </w:p>
        </w:tc>
        <w:tc>
          <w:tcPr>
            <w:tcW w:type="dxa" w:w="7000"/>
          </w:tcPr>
          <w:p>
            <w:r>
              <w:t>978-2-7298-4045-7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analytique/ analyse fonctionnelle/ </w:t>
            </w:r>
          </w:p>
        </w:tc>
      </w:tr>
    </w:tbl>
    <w:p>
      <w:pPr>
        <w:pStyle w:val="Heading3"/>
      </w:pPr>
      <w:r>
        <w:t>Résumé :</w:t>
      </w:r>
    </w:p>
    <w:p>
      <w:r>
        <w:t>Les géométries fractales étudient des objets dont la structure est irrégulière ou fragmentée à toutes les échelles. Ces objets sont dits fractals, un terme popularisé par Benoît Mandelbrot. Contrairement aux formes géométriques classiques (cercle, carré, cube...), les fractales peuvent avoir une dimension non entière, appelée dimension fractale.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