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2749502330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classification périodique/ Modèle VSEPR/ Polarité moléculaire/ </w:t>
            </w:r>
          </w:p>
        </w:tc>
      </w:tr>
    </w:tbl>
    <w:p>
      <w:pPr>
        <w:pStyle w:val="Heading3"/>
      </w:pPr>
      <w:r>
        <w:t>Résumé :</w:t>
      </w:r>
    </w:p>
    <w:p>
      <w:r>
        <w:t>L'enseignement de la chimie de la filière PCSI abordé en un seul volume, sous la forme d'un cours clair et concis. Des pages de méthodes et des exercices corrigés, variés et progressifs, permettent un entraînement et une préparation efficaces. Sommaire : Architecture de la matière : Configuration électronique des atomes, La classification périodique des éléments, etc.; Cinétique des systèmes chimiques : Cinétique chimique, Mécanismes réactionnels en cinétique homogène; Structure, réactivité et synthèse en chimie organique : Notions de chimie organique, Stéréochimie des molécules organiques, Réactivité de la double liaison carbone-carbone, etc.; Architecture moléculaire de la matière : Le modèle quantique de l'atome, Structure électronique des molécules, etc.; Structure, réactivité et synthèse en chimie organique : Les liaisons simples carbone-halogène, Les liaisons simples carbone-azote,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