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Structure de la matère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Morlaës, Paulette/ Morlaës, Paulette/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Collection</w:t>
            </w:r>
          </w:p>
        </w:tc>
        <w:tc>
          <w:tcPr>
            <w:tcW w:type="dxa" w:w="7000"/>
          </w:tcPr>
          <w:p>
            <w:r>
              <w:t>Cours de chimie(N°:None)</w:t>
            </w:r>
          </w:p>
        </w:tc>
      </w:tr>
      <w:tr>
        <w:trPr>
          <w:trHeight w:val="567"/>
        </w:trPr>
        <w:tc>
          <w:tcPr>
            <w:tcW w:type="dxa" w:w="3000"/>
          </w:tcPr>
          <w:p>
            <w:r>
              <w:t>Numéro d'Identification</w:t>
            </w:r>
          </w:p>
        </w:tc>
        <w:tc>
          <w:tcPr>
            <w:tcW w:type="dxa" w:w="7000"/>
          </w:tcPr>
          <w:p>
            <w:r>
              <w:t>2711741613</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Modèle de Bohr/ Spectres atomiques/ </w:t>
            </w:r>
          </w:p>
        </w:tc>
      </w:tr>
    </w:tbl>
    <w:p>
      <w:pPr>
        <w:pStyle w:val="Heading3"/>
      </w:pPr>
      <w:r>
        <w:t>Résumé :</w:t>
      </w:r>
    </w:p>
    <w:p>
      <w:r>
        <w:t>Ce manuel s'adresse principalement aux étudiants en classes préparatoires scientifiques, notamment ceux en mathématiques supérieures (math sup), ainsi qu'aux étudiants du premier cycle universitaire en sciences. Il est également utile pour les enseignants et les candidats aux concours scientifiques nécessitant une maîtrise approfondie de la structure de la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