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Painter 5</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Jolivalt, Bernard/ </w:t>
            </w:r>
          </w:p>
        </w:tc>
      </w:tr>
      <w:tr>
        <w:trPr>
          <w:trHeight w:val="567"/>
        </w:trPr>
        <w:tc>
          <w:tcPr>
            <w:tcW w:type="dxa" w:w="3000"/>
          </w:tcPr>
          <w:p>
            <w:r>
              <w:t>Adresse bib.</w:t>
            </w:r>
          </w:p>
        </w:tc>
        <w:tc>
          <w:tcPr>
            <w:tcW w:type="dxa" w:w="7000"/>
          </w:tcPr>
          <w:p>
            <w:r>
              <w:t xml:space="preserve">Simon et Schuster Macmillan/ </w:t>
            </w:r>
          </w:p>
        </w:tc>
      </w:tr>
      <w:tr>
        <w:trPr>
          <w:trHeight w:val="567"/>
        </w:trPr>
        <w:tc>
          <w:tcPr>
            <w:tcW w:type="dxa" w:w="3000"/>
          </w:tcPr>
          <w:p>
            <w:r>
              <w:t>Nombre de Pages</w:t>
            </w:r>
          </w:p>
        </w:tc>
        <w:tc>
          <w:tcPr>
            <w:tcW w:type="dxa" w:w="7000"/>
          </w:tcPr>
          <w:p>
            <w:r>
              <w:t>162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Le Macmillan(N°:None)</w:t>
            </w:r>
          </w:p>
        </w:tc>
      </w:tr>
      <w:tr>
        <w:trPr>
          <w:trHeight w:val="567"/>
        </w:trPr>
        <w:tc>
          <w:tcPr>
            <w:tcW w:type="dxa" w:w="3000"/>
          </w:tcPr>
          <w:p>
            <w:r>
              <w:t>Notes Générales</w:t>
            </w:r>
          </w:p>
        </w:tc>
        <w:tc>
          <w:tcPr>
            <w:tcW w:type="dxa" w:w="7000"/>
          </w:tcPr>
          <w:p>
            <w:r>
              <w:t>Index p.p.155-162</w:t>
            </w:r>
          </w:p>
        </w:tc>
      </w:tr>
      <w:tr>
        <w:trPr>
          <w:trHeight w:val="567"/>
        </w:trPr>
        <w:tc>
          <w:tcPr>
            <w:tcW w:type="dxa" w:w="3000"/>
          </w:tcPr>
          <w:p>
            <w:r>
              <w:t>Numéro d'Identification</w:t>
            </w:r>
          </w:p>
        </w:tc>
        <w:tc>
          <w:tcPr>
            <w:tcW w:type="dxa" w:w="7000"/>
          </w:tcPr>
          <w:p>
            <w:r>
              <w:t>2744004138</w:t>
            </w:r>
          </w:p>
        </w:tc>
      </w:tr>
      <w:tr>
        <w:trPr>
          <w:trHeight w:val="567"/>
        </w:trPr>
        <w:tc>
          <w:tcPr>
            <w:tcW w:type="dxa" w:w="3000"/>
          </w:tcPr>
          <w:p>
            <w:r>
              <w:t>Thème</w:t>
            </w:r>
          </w:p>
        </w:tc>
        <w:tc>
          <w:tcPr>
            <w:tcW w:type="dxa" w:w="7000"/>
          </w:tcPr>
          <w:p>
            <w:r>
              <w:t>Informatique, traitement des données (choix et utilisation du hardware, du matériel informatique ; configurations logicielles et matérielles, fiabilité des ordinateurs, firmware considéré comme hardware ; ouvrages d'ensemble et interdisciplinaires su</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fractal design painter (logiciel)/ infographie:logiciels/ </w:t>
            </w:r>
          </w:p>
        </w:tc>
      </w:tr>
    </w:tbl>
    <w:p>
      <w:pPr>
        <w:pStyle w:val="Heading3"/>
      </w:pPr>
      <w:r>
        <w:t>Résumé :</w:t>
      </w:r>
    </w:p>
    <w:p>
      <w:r>
        <w:t>C'est un guide pratique pour apprendre à utiliser Fractal Design Painter 5, un logiciel de peinture numérique qui simule les outils traditionnels des artistes (pinceaux, papiers, encres, etc.). Il est conçu pour une initiation pratique au logiciel, en mettant l'accent sur l'apprentissage par la pratique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