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Painter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Jolivalt, Bernard/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p.p.155-162</w:t>
            </w:r>
          </w:p>
        </w:tc>
      </w:tr>
      <w:tr>
        <w:trPr>
          <w:trHeight w:val="567"/>
        </w:trPr>
        <w:tc>
          <w:tcPr>
            <w:tcW w:type="dxa" w:w="3000"/>
          </w:tcPr>
          <w:p>
            <w:r>
              <w:t>Numéro d'Identification</w:t>
            </w:r>
          </w:p>
        </w:tc>
        <w:tc>
          <w:tcPr>
            <w:tcW w:type="dxa" w:w="7000"/>
          </w:tcPr>
          <w:p>
            <w:r>
              <w:t>2744004138</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fractal design painter (logiciel)/ infographie:logiciels/ </w:t>
            </w:r>
          </w:p>
        </w:tc>
      </w:tr>
    </w:tbl>
    <w:p>
      <w:pPr>
        <w:pStyle w:val="Heading3"/>
      </w:pPr>
      <w:r>
        <w:t>Résumé :</w:t>
      </w:r>
    </w:p>
    <w:p>
      <w:r>
        <w:t>C'est un guide pratique pour apprendre à utiliser Fractal Design Painter 5, un logiciel de peinture numérique qui simule les outils traditionnels des artistes (pinceaux, papiers, encres, etc.). Il est conçu pour une initiation pratique au logiciel, en mettant l'accent sur l'apprentissage par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