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java 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Chevallier, Robert/ </w:t>
            </w:r>
          </w:p>
        </w:tc>
      </w:tr>
      <w:tr>
        <w:trPr>
          <w:trHeight w:val="567"/>
        </w:trPr>
        <w:tc>
          <w:tcPr>
            <w:tcW w:type="dxa" w:w="3000"/>
          </w:tcPr>
          <w:p>
            <w:r>
              <w:t>Adresse bib.</w:t>
            </w:r>
          </w:p>
        </w:tc>
        <w:tc>
          <w:tcPr>
            <w:tcW w:type="dxa" w:w="7000"/>
          </w:tcPr>
          <w:p>
            <w:r>
              <w:t xml:space="preserve">Pearson Education France/ </w:t>
            </w:r>
          </w:p>
        </w:tc>
      </w:tr>
      <w:tr>
        <w:trPr>
          <w:trHeight w:val="567"/>
        </w:trPr>
        <w:tc>
          <w:tcPr>
            <w:tcW w:type="dxa" w:w="3000"/>
          </w:tcPr>
          <w:p>
            <w:r>
              <w:t>Nombre de Pages</w:t>
            </w:r>
          </w:p>
        </w:tc>
        <w:tc>
          <w:tcPr>
            <w:tcW w:type="dxa" w:w="7000"/>
          </w:tcPr>
          <w:p>
            <w:r>
              <w:t>251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Synthex(N°:None)</w:t>
            </w:r>
          </w:p>
        </w:tc>
      </w:tr>
      <w:tr>
        <w:trPr>
          <w:trHeight w:val="567"/>
        </w:trPr>
        <w:tc>
          <w:tcPr>
            <w:tcW w:type="dxa" w:w="3000"/>
          </w:tcPr>
          <w:p>
            <w:r>
              <w:t>Notes Générales</w:t>
            </w:r>
          </w:p>
        </w:tc>
        <w:tc>
          <w:tcPr>
            <w:tcW w:type="dxa" w:w="7000"/>
          </w:tcPr>
          <w:p>
            <w:r>
              <w:t>Index p.p. 247-251</w:t>
            </w:r>
          </w:p>
        </w:tc>
      </w:tr>
      <w:tr>
        <w:trPr>
          <w:trHeight w:val="567"/>
        </w:trPr>
        <w:tc>
          <w:tcPr>
            <w:tcW w:type="dxa" w:w="3000"/>
          </w:tcPr>
          <w:p>
            <w:r>
              <w:t>Numéro d'Identification</w:t>
            </w:r>
          </w:p>
        </w:tc>
        <w:tc>
          <w:tcPr>
            <w:tcW w:type="dxa" w:w="7000"/>
          </w:tcPr>
          <w:p>
            <w:r>
              <w:t>2744070963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de programmation/ interface graphique/ installation java/ </w:t>
            </w:r>
          </w:p>
        </w:tc>
      </w:tr>
    </w:tbl>
    <w:p>
      <w:pPr>
        <w:pStyle w:val="Heading3"/>
      </w:pPr>
      <w:r>
        <w:t>Résumé :</w:t>
      </w:r>
    </w:p>
    <w:p>
      <w:r>
        <w:t>Cet ouvrage propose un cadre pratique pour acquérir une bonne maîtrise du langage Java, en étudiant chacune des notions de la programmation objet. II présente les notions de classes, d'objets, d'envois de message et d'encapsulation, ainsi que les concepts d'héritage, de composition et d'association entre les classes. II indique également comment réaliser des structures d'objets et des interfaces graphiques et comment utiliser la généricité. Les exercices, qui occupent la moitié du livre, sont intégralement corrigés et permettent au lecteur de mettre en œuvre les notions présentées. Tous les programmes étudiés sont opérationnels et montrent comment résoudre les problèmes posés. Ce livre s'adresse aux étudiants de premier et de second cycle (IUT, BTS, universités et écoles d'ingénieurs) : il se veut un cadre pratique d'apprentissage de la programmation en Java, mais aussi un outil concret de révision et d'auto-évaluation. II sera également précieux aux professionnels en formation continue et aux praticiens désireux de parfaire leurs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