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Chaines de Markov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Sericola, Bruno/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x 16 cm</w:t>
            </w:r>
          </w:p>
        </w:tc>
      </w:tr>
      <w:tr>
        <w:trPr>
          <w:trHeight w:val="567"/>
        </w:trPr>
        <w:tc>
          <w:tcPr>
            <w:tcW w:type="dxa" w:w="3000"/>
          </w:tcPr>
          <w:p>
            <w:r>
              <w:t>Collection</w:t>
            </w:r>
          </w:p>
        </w:tc>
        <w:tc>
          <w:tcPr>
            <w:tcW w:type="dxa" w:w="7000"/>
          </w:tcPr>
          <w:p>
            <w:r>
              <w:t>Méthodes stochastiques appliquées(N°:None)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9782746239166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des probabilité/ processus stochastique/ </w:t>
            </w:r>
          </w:p>
        </w:tc>
      </w:tr>
    </w:tbl>
    <w:p>
      <w:pPr>
        <w:pStyle w:val="Heading3"/>
      </w:pPr>
      <w:r>
        <w:t>Résumé :</w:t>
      </w:r>
    </w:p>
    <w:p>
      <w:r>
        <w:t>Une étude approfondie des chaines de Markov à temps discret et à temps continu avec des applications détaillées aux proccessus de naissance et de mort et aux files d'attente. Ces applications sont illustrées pas des algorithmes généraux de calcul de probabilités d'état et de distribution de temps de passage.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