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expressions irrégulières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Desgraupes, Bernard/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p.p.225-248</w:t>
            </w:r>
          </w:p>
        </w:tc>
      </w:tr>
      <w:tr>
        <w:trPr>
          <w:trHeight w:val="567"/>
        </w:trPr>
        <w:tc>
          <w:tcPr>
            <w:tcW w:type="dxa" w:w="3000"/>
          </w:tcPr>
          <w:p>
            <w:r>
              <w:t>Numéro d'Identification</w:t>
            </w:r>
          </w:p>
        </w:tc>
        <w:tc>
          <w:tcPr>
            <w:tcW w:type="dxa" w:w="7000"/>
          </w:tcPr>
          <w:p>
            <w:r>
              <w:t>2711786803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w:t>
            </w:r>
          </w:p>
        </w:tc>
      </w:tr>
    </w:tbl>
    <w:p>
      <w:pPr>
        <w:pStyle w:val="Heading3"/>
      </w:pPr>
      <w:r>
        <w:t>Résumé :</w:t>
      </w:r>
    </w:p>
    <w:p>
      <w:r>
        <w:t>Cet ouvrage passe en revue leurs principaux champs d'application : outils de recherche (les programmes de la famille grep), éditeurs de texte (sed, emacs et Alpha) et langages de scripts, tels Tcl, Python, Perl, awk et enfin javaScript, devenu une référence pour la création de pages web interactives. Une annexe expose les problèmes théoriques liés à la modélisation de ces expressions et à leur implémentation dans des programmes informatiques. Enfin, de nombreux tableaux synoptiques aidant au choix et à l'utilisation des différents dialectes, un lexique anglais-français et quelques adresses Internet sont réunis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