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graphique, modélisation géométrique et animation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Péroche, Bernard/ Bechmann,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Traitement du signal et de l'image(N°:None)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9782746215146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modélisation géométrique/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La première partie de ce traité, regroupe, en 6 chapitres, les principaux modèles de représentation des objets utilisés de nos jours : les modèles classiques, les modèles topologiques, les surfaces paramétriques, les surfaces implicites, et la modélisation sous contraintes.</w:t>
        <w:br/>
        <w:br/>
        <w:t>L'animation par ordinateur consiste à faire évoluer dans le temps une scène d'objets modélisés. La seconde partie de ce traité parlant de l'animation est découpée en 4 chapitres : animation traditionnelle par ordinateur, animation par déformations et métamorphoses, animation par modèles générateurs et animation comportementale.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