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moderne et théorie des graphes orientées vers les sciences économiques et sociales.T2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Bernard/ Horps;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Sujet(s)</w:t>
            </w:r>
          </w:p>
        </w:tc>
        <w:tc>
          <w:tcPr>
            <w:tcW w:type="dxa" w:w="7000"/>
          </w:tcPr>
          <w:p>
            <w:r>
              <w:t xml:space="preserve">algébre/ modelisation mathematique/ algébre moderne/ </w:t>
            </w:r>
          </w:p>
        </w:tc>
      </w:tr>
    </w:tbl>
    <w:p>
      <w:pPr>
        <w:pStyle w:val="Heading3"/>
      </w:pPr>
      <w:r>
        <w:t>Résumé :</w:t>
      </w:r>
    </w:p>
    <w:p>
      <w:r>
        <w:t>Algèbre moderne et théorie des graphes orientées vers les sciences économiques et sociales. T2 : applications et problèmes spécifiques. Fascicules 4 : problèmes de circulation et flots sur un graphe" aborde l'utilisation de concepts d'algèbre moderne et de théorie des graphes dans les domaines des sciences économiques et sociales. Il se concentre sur les applications spécifiques de ces outils dans le cadre des problèmes de circulation et de flots au sein de graphes orientés. Ces problèmes sont cruciaux pour des applications pratiques comme la gestion des réseaux de transport, la distribution de ressources ou encore l'optimisation des systèmes de production. Le fascicule examine des approches mathématiques permettant de modéliser et de résoudre des problèmes complexes liés à la circulation de flux dans un graphe orienté, en utilisant des méthodes algébriques adaptées à ces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