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Maple, cours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Porcheron; Lionel/ Ferrard, Jean-Michel/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2100043218</w:t>
            </w:r>
          </w:p>
        </w:tc>
      </w:tr>
      <w:tr>
        <w:trPr>
          <w:trHeight w:val="567"/>
        </w:trPr>
        <w:tc>
          <w:tcPr>
            <w:tcW w:type="dxa" w:w="3000"/>
          </w:tcPr>
          <w:p>
            <w:r>
              <w:t>Sujet(s)</w:t>
            </w:r>
          </w:p>
        </w:tc>
        <w:tc>
          <w:tcPr>
            <w:tcW w:type="dxa" w:w="7000"/>
          </w:tcPr>
          <w:p>
            <w:r>
              <w:t xml:space="preserve">maple/ calcul formel/ </w:t>
            </w:r>
          </w:p>
        </w:tc>
      </w:tr>
    </w:tbl>
    <w:p>
      <w:pPr>
        <w:pStyle w:val="Heading3"/>
      </w:pPr>
      <w:r>
        <w:t>Résumé :</w:t>
      </w:r>
    </w:p>
    <w:p>
      <w:r>
        <w:t>Cet ouvrage intègre des applications dans le domaine des mathématiques, de la physique et de la chimie. Permet aux étudiants des classes prépas d'acquérir les bases requises pour une utilisation optimale de Maple.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