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ntégral.T2, 1ére partie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Piskounov, N/ </w:t>
            </w:r>
          </w:p>
        </w:tc>
      </w:tr>
      <w:tr>
        <w:trPr>
          <w:trHeight w:val="567"/>
        </w:trPr>
        <w:tc>
          <w:tcPr>
            <w:tcW w:type="dxa" w:w="3000"/>
          </w:tcPr>
          <w:p>
            <w:r>
              <w:t>Edition</w:t>
            </w:r>
          </w:p>
        </w:tc>
        <w:tc>
          <w:tcPr>
            <w:tcW w:type="dxa" w:w="7000"/>
          </w:tcPr>
          <w:p>
            <w:r>
              <w:t>4éme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9789961013137</w:t>
            </w:r>
          </w:p>
        </w:tc>
      </w:tr>
      <w:tr>
        <w:trPr>
          <w:trHeight w:val="567"/>
        </w:trPr>
        <w:tc>
          <w:tcPr>
            <w:tcW w:type="dxa" w:w="3000"/>
          </w:tcPr>
          <w:p>
            <w:r>
              <w:t>Sujet(s)</w:t>
            </w:r>
          </w:p>
        </w:tc>
        <w:tc>
          <w:tcPr>
            <w:tcW w:type="dxa" w:w="7000"/>
          </w:tcPr>
          <w:p>
            <w:r>
              <w:t xml:space="preserve">calcul/ serie de fourier/ équation différentielle ordinaire/ intégral/ </w:t>
            </w:r>
          </w:p>
        </w:tc>
      </w:tr>
    </w:tbl>
    <w:p>
      <w:pPr>
        <w:pStyle w:val="Heading3"/>
      </w:pPr>
      <w:r>
        <w:t>Résumé :</w:t>
      </w:r>
    </w:p>
    <w:p>
      <w:r>
        <w:t>De nombreux problémes et exercices, illustrant pour la plupart des liens qui existent entre les mathématiques et les autrs disciplines, ont été inclus.Les problémes et les exercices ont été spécialement chosis pour chaque chapitre de cours afin de contribuer à l'assimilation de la partie théorique.Certainsont été résolus et commentés à titre d'exemples.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