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Hubbard; John Rast./ Maréchal, Virginie/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27cm</w:t>
            </w:r>
          </w:p>
        </w:tc>
      </w:tr>
      <w:tr>
        <w:trPr>
          <w:trHeight w:val="567"/>
        </w:trPr>
        <w:tc>
          <w:tcPr>
            <w:tcW w:type="dxa" w:w="3000"/>
          </w:tcPr>
          <w:p>
            <w:r>
              <w:t>Collection</w:t>
            </w:r>
          </w:p>
        </w:tc>
        <w:tc>
          <w:tcPr>
            <w:tcW w:type="dxa" w:w="7000"/>
          </w:tcPr>
          <w:p>
            <w:r>
              <w:t>Schaum's(N°:None)</w:t>
            </w:r>
          </w:p>
        </w:tc>
      </w:tr>
      <w:tr>
        <w:trPr>
          <w:trHeight w:val="567"/>
        </w:trPr>
        <w:tc>
          <w:tcPr>
            <w:tcW w:type="dxa" w:w="3000"/>
          </w:tcPr>
          <w:p>
            <w:r>
              <w:t>Notes Générales</w:t>
            </w:r>
          </w:p>
        </w:tc>
        <w:tc>
          <w:tcPr>
            <w:tcW w:type="dxa" w:w="7000"/>
          </w:tcPr>
          <w:p>
            <w:r>
              <w:t>Index p.p. 381-388</w:t>
            </w:r>
          </w:p>
        </w:tc>
      </w:tr>
      <w:tr>
        <w:trPr>
          <w:trHeight w:val="567"/>
        </w:trPr>
        <w:tc>
          <w:tcPr>
            <w:tcW w:type="dxa" w:w="3000"/>
          </w:tcPr>
          <w:p>
            <w:r>
              <w:t>Numéro d'Identification</w:t>
            </w:r>
          </w:p>
        </w:tc>
        <w:tc>
          <w:tcPr>
            <w:tcW w:type="dxa" w:w="7000"/>
          </w:tcPr>
          <w:p>
            <w:r>
              <w:t>2100486640</w:t>
            </w:r>
          </w:p>
        </w:tc>
      </w:tr>
      <w:tr>
        <w:trPr>
          <w:trHeight w:val="567"/>
        </w:trPr>
        <w:tc>
          <w:tcPr>
            <w:tcW w:type="dxa" w:w="3000"/>
          </w:tcPr>
          <w:p>
            <w:r>
              <w:t>Sujet(s)</w:t>
            </w:r>
          </w:p>
        </w:tc>
        <w:tc>
          <w:tcPr>
            <w:tcW w:type="dxa" w:w="7000"/>
          </w:tcPr>
          <w:p>
            <w:r>
              <w:t xml:space="preserve">héritage/ java/ syntaxe java/ </w:t>
            </w:r>
          </w:p>
        </w:tc>
      </w:tr>
    </w:tbl>
    <w:p>
      <w:pPr>
        <w:pStyle w:val="Heading3"/>
      </w:pPr>
      <w:r>
        <w:t>Résumé :</w:t>
      </w:r>
    </w:p>
    <w:p>
      <w:r>
        <w:t>Cet ouvrage conçu comme si le langage Java était le premier langage de programmation appris par le lecteur, cet ouvrage est un outil précieux qui explique les concepts de base et présente des exemples construits et détaillés. Il permettra au programmeur débutant de surmonter rapidement les problèmes techniques et syntaxiques de ce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