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cristallographie géométrique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Latelli; H'mida/ </w:t>
            </w:r>
          </w:p>
        </w:tc>
      </w:tr>
      <w:tr>
        <w:trPr>
          <w:trHeight w:val="567"/>
        </w:trPr>
        <w:tc>
          <w:tcPr>
            <w:tcW w:type="dxa" w:w="3000"/>
          </w:tcPr>
          <w:p>
            <w:r>
              <w:t>Adresse bib.</w:t>
            </w:r>
          </w:p>
        </w:tc>
        <w:tc>
          <w:tcPr>
            <w:tcW w:type="dxa" w:w="7000"/>
          </w:tcPr>
          <w:p>
            <w:r>
              <w:t xml:space="preserve">O P U/ </w:t>
            </w:r>
          </w:p>
        </w:tc>
      </w:tr>
      <w:tr>
        <w:trPr>
          <w:trHeight w:val="567"/>
        </w:trPr>
        <w:tc>
          <w:tcPr>
            <w:tcW w:type="dxa" w:w="3000"/>
          </w:tcPr>
          <w:p>
            <w:r>
              <w:t>Nombre de Pages</w:t>
            </w:r>
          </w:p>
        </w:tc>
        <w:tc>
          <w:tcPr>
            <w:tcW w:type="dxa" w:w="7000"/>
          </w:tcPr>
          <w:p>
            <w:r>
              <w:t>124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 xml:space="preserve">Bibliogr. </w:t>
            </w:r>
          </w:p>
        </w:tc>
      </w:tr>
      <w:tr>
        <w:trPr>
          <w:trHeight w:val="567"/>
        </w:trPr>
        <w:tc>
          <w:tcPr>
            <w:tcW w:type="dxa" w:w="3000"/>
          </w:tcPr>
          <w:p>
            <w:r>
              <w:t>Numéro d'Identification</w:t>
            </w:r>
          </w:p>
        </w:tc>
        <w:tc>
          <w:tcPr>
            <w:tcW w:type="dxa" w:w="7000"/>
          </w:tcPr>
          <w:p>
            <w:r>
              <w:t>9789961014707</w:t>
            </w:r>
          </w:p>
        </w:tc>
      </w:tr>
      <w:tr>
        <w:trPr>
          <w:trHeight w:val="567"/>
        </w:trPr>
        <w:tc>
          <w:tcPr>
            <w:tcW w:type="dxa" w:w="3000"/>
          </w:tcPr>
          <w:p>
            <w:r>
              <w:t>Sujet(s)</w:t>
            </w:r>
          </w:p>
        </w:tc>
        <w:tc>
          <w:tcPr>
            <w:tcW w:type="dxa" w:w="7000"/>
          </w:tcPr>
          <w:p>
            <w:r>
              <w:t xml:space="preserve">géométrique/ cristallographie/ </w:t>
            </w:r>
          </w:p>
        </w:tc>
      </w:tr>
    </w:tbl>
    <w:p>
      <w:pPr>
        <w:pStyle w:val="Heading3"/>
      </w:pPr>
      <w:r>
        <w:t>Résumé :</w:t>
      </w:r>
    </w:p>
    <w:p>
      <w:r>
        <w:t>S’adressant particulièrement à l’enseignement des notions fondamentales de la cristallographie. Ne traitant pas des méthodes de détermination des structures, il s’adresse en particulier aux étudiants de master et magistère en sciences des matériaux. L’ étudiant comme l’enseignant, dans ce domaine, trouveront dans ce livre un outil appréciable de travail. Les chapitres 1 et 2 permettent d’acquérir les bases nécessaires avant d’aborder, au chapitre 3, les groupes ponctuels. Il n’est fait appel dans ce cadre qu’à des notions élémentaires de calculs vectoriel et matriciel. Un cours de base, dans ce domaine, devrait être complété par des tableaux de classifications de ces groupes au chapitre 4. Le chapitre 5 expose plutôt les modes de réseaux de Bravais et leur dénombrement d’un point de vue purement géométrique. Enfin, le chapitre 6 est consacré aux groupes spatiaux : coordonnées des positions équivalentes, nature et localisation des opérations de symétrie, positions spéciales et symétrie de site. Figures, tableaux, schémas et annexes complètent et clarifient de façon très pertinente l’ensemble des éléments traités. Dans l’ordre de la présentation didactique, il est cependant souligné l’emploi systématique de la notation de Hermann et Mauguin, désormais universellement employée en cristallographie.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