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Vecteurs, matrices et nombres complexes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Papillon; Vincent/ </w:t>
            </w:r>
          </w:p>
        </w:tc>
      </w:tr>
      <w:tr>
        <w:trPr>
          <w:trHeight w:val="567"/>
        </w:trPr>
        <w:tc>
          <w:tcPr>
            <w:tcW w:type="dxa" w:w="3000"/>
          </w:tcPr>
          <w:p>
            <w:r>
              <w:t>Adresse bib.</w:t>
            </w:r>
          </w:p>
        </w:tc>
        <w:tc>
          <w:tcPr>
            <w:tcW w:type="dxa" w:w="7000"/>
          </w:tcPr>
          <w:p>
            <w:r>
              <w:t xml:space="preserve">Modulo/ </w:t>
            </w:r>
          </w:p>
        </w:tc>
      </w:tr>
      <w:tr>
        <w:trPr>
          <w:trHeight w:val="567"/>
        </w:trPr>
        <w:tc>
          <w:tcPr>
            <w:tcW w:type="dxa" w:w="3000"/>
          </w:tcPr>
          <w:p>
            <w:r>
              <w:t>Nombre de Pages</w:t>
            </w:r>
          </w:p>
        </w:tc>
        <w:tc>
          <w:tcPr>
            <w:tcW w:type="dxa" w:w="7000"/>
          </w:tcPr>
          <w:p>
            <w:r>
              <w:t>387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384 -387</w:t>
            </w:r>
          </w:p>
        </w:tc>
      </w:tr>
      <w:tr>
        <w:trPr>
          <w:trHeight w:val="567"/>
        </w:trPr>
        <w:tc>
          <w:tcPr>
            <w:tcW w:type="dxa" w:w="3000"/>
          </w:tcPr>
          <w:p>
            <w:r>
              <w:t>Numéro d'Identification</w:t>
            </w:r>
          </w:p>
        </w:tc>
        <w:tc>
          <w:tcPr>
            <w:tcW w:type="dxa" w:w="7000"/>
          </w:tcPr>
          <w:p>
            <w:r>
              <w:t>2891132785</w:t>
            </w:r>
          </w:p>
        </w:tc>
      </w:tr>
      <w:tr>
        <w:trPr>
          <w:trHeight w:val="567"/>
        </w:trPr>
        <w:tc>
          <w:tcPr>
            <w:tcW w:type="dxa" w:w="3000"/>
          </w:tcPr>
          <w:p>
            <w:r>
              <w:t>Sujet(s)</w:t>
            </w:r>
          </w:p>
        </w:tc>
        <w:tc>
          <w:tcPr>
            <w:tcW w:type="dxa" w:w="7000"/>
          </w:tcPr>
          <w:p>
            <w:r>
              <w:t xml:space="preserve">géométrie affine/ analyse vectorielle/ </w:t>
            </w:r>
          </w:p>
        </w:tc>
      </w:tr>
    </w:tbl>
    <w:p>
      <w:pPr>
        <w:pStyle w:val="Heading3"/>
      </w:pPr>
      <w:r>
        <w:t>Résumé :</w:t>
      </w:r>
    </w:p>
    <w:p>
      <w:r>
        <w:t>Les chapitres 1 et 2 présentent les vecteurs comme les translations agissant dynamiquement sur les point de lespace.au 3 ème chapitres ,les déterminants sont d'abord présentés comme des outils de mésure et les propriétés axiomatiques des déterminants deviennent le reflet de principes géométriques simples tel le principe de Cavalieri pour les calcul des aires et des volumes appliqué aux parallélogrammes et aux parallélipèdes.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