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Recyclage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Marlin; Roger/ </w:t>
            </w:r>
          </w:p>
        </w:tc>
      </w:tr>
      <w:tr>
        <w:trPr>
          <w:trHeight w:val="567"/>
        </w:trPr>
        <w:tc>
          <w:tcPr>
            <w:tcW w:type="dxa" w:w="3000"/>
          </w:tcPr>
          <w:p>
            <w:r>
              <w:t>Adresse bib.</w:t>
            </w:r>
          </w:p>
        </w:tc>
        <w:tc>
          <w:tcPr>
            <w:tcW w:type="dxa" w:w="7000"/>
          </w:tcPr>
          <w:p>
            <w:r>
              <w:t xml:space="preserve">Edition marketing/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Cahiers du 1er cycle(N°:None)</w:t>
            </w:r>
          </w:p>
        </w:tc>
      </w:tr>
      <w:tr>
        <w:trPr>
          <w:trHeight w:val="567"/>
        </w:trPr>
        <w:tc>
          <w:tcPr>
            <w:tcW w:type="dxa" w:w="3000"/>
          </w:tcPr>
          <w:p>
            <w:r>
              <w:t>Numéro d'Identification</w:t>
            </w:r>
          </w:p>
        </w:tc>
        <w:tc>
          <w:tcPr>
            <w:tcW w:type="dxa" w:w="7000"/>
          </w:tcPr>
          <w:p>
            <w:r>
              <w:t>2729842004</w:t>
            </w:r>
          </w:p>
        </w:tc>
      </w:tr>
      <w:tr>
        <w:trPr>
          <w:trHeight w:val="567"/>
        </w:trPr>
        <w:tc>
          <w:tcPr>
            <w:tcW w:type="dxa" w:w="3000"/>
          </w:tcPr>
          <w:p>
            <w:r>
              <w:t>Sujet(s)</w:t>
            </w:r>
          </w:p>
        </w:tc>
        <w:tc>
          <w:tcPr>
            <w:tcW w:type="dxa" w:w="7000"/>
          </w:tcPr>
          <w:p>
            <w:r>
              <w:t xml:space="preserve">mathématique/ autonomie/ </w:t>
            </w:r>
          </w:p>
        </w:tc>
      </w:tr>
    </w:tbl>
    <w:p>
      <w:pPr>
        <w:pStyle w:val="Heading3"/>
      </w:pPr>
      <w:r>
        <w:t>Résumé :</w:t>
      </w:r>
    </w:p>
    <w:p>
      <w:r>
        <w:t>L'ouvrage propose une approche permettant aux lecteurs de déconstruire et de reconstruire les outils mathématiques, tels que les définitions, propriétés et formules, afin de maîtriser leur utilisation de manière autonome. Cette méthode vise à développer une compréhension approfondie et flexible des mathématiques, en encourageant une posture active de concepteur et fabricant des outils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