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les sciences humaines et sociales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Bosi, Stefano/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617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x 20 cm</w:t>
            </w:r>
          </w:p>
        </w:tc>
      </w:tr>
      <w:tr>
        <w:trPr>
          <w:trHeight w:val="567"/>
        </w:trPr>
        <w:tc>
          <w:tcPr>
            <w:tcW w:type="dxa" w:w="3000"/>
          </w:tcPr>
          <w:p>
            <w:r>
              <w:t>Collection</w:t>
            </w:r>
          </w:p>
        </w:tc>
        <w:tc>
          <w:tcPr>
            <w:tcW w:type="dxa" w:w="7000"/>
          </w:tcPr>
          <w:p>
            <w:r>
              <w:t>Corpus. Economie(N°:None)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9782717860238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économique/ </w:t>
            </w:r>
          </w:p>
        </w:tc>
      </w:tr>
    </w:tbl>
    <w:p>
      <w:pPr>
        <w:pStyle w:val="Heading3"/>
      </w:pPr>
      <w:r>
        <w:t>Résumé :</w:t>
      </w:r>
    </w:p>
    <w:p>
      <w:r>
        <w:t>Ce corpus explique comment les mathématiques rendent compte du comportement humain et restituent sa complexité. L'algèbre est le langage fondamental des mathématiques permettant de représenter les structures de la pensée humaine et de l'organisation sociale ; l'analyse et l'optimisation aident à formaliser le comportement d'agents soumis à des contraintes économiques ou à des normes sociales.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