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chromatographie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Kabouche; Zahia/ </w:t>
            </w:r>
          </w:p>
        </w:tc>
      </w:tr>
      <w:tr>
        <w:trPr>
          <w:trHeight w:val="567"/>
        </w:trPr>
        <w:tc>
          <w:tcPr>
            <w:tcW w:type="dxa" w:w="3000"/>
          </w:tcPr>
          <w:p>
            <w:r>
              <w:t>Adresse bib.</w:t>
            </w:r>
          </w:p>
        </w:tc>
        <w:tc>
          <w:tcPr>
            <w:tcW w:type="dxa" w:w="7000"/>
          </w:tcPr>
          <w:p>
            <w:r>
              <w:t xml:space="preserve">Dar el-fadjer/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9961911303</w:t>
            </w:r>
          </w:p>
        </w:tc>
      </w:tr>
      <w:tr>
        <w:trPr>
          <w:trHeight w:val="567"/>
        </w:trPr>
        <w:tc>
          <w:tcPr>
            <w:tcW w:type="dxa" w:w="3000"/>
          </w:tcPr>
          <w:p>
            <w:r>
              <w:t>Sujet(s)</w:t>
            </w:r>
          </w:p>
        </w:tc>
        <w:tc>
          <w:tcPr>
            <w:tcW w:type="dxa" w:w="7000"/>
          </w:tcPr>
          <w:p>
            <w:r>
              <w:t xml:space="preserve">exercice/ chromatographie/ phade gazeuse/ </w:t>
            </w:r>
          </w:p>
        </w:tc>
      </w:tr>
    </w:tbl>
    <w:p>
      <w:pPr>
        <w:pStyle w:val="Heading3"/>
      </w:pPr>
      <w:r>
        <w:t>Résumé :</w:t>
      </w:r>
    </w:p>
    <w:p>
      <w:r>
        <w:t xml:space="preserve">Traitant de la chromatographie en phade gazeuse ou liquide.Il comprend des tableaux récapitulatifs permettant de résoudre plus rapidement les exercices et des conseils pratiques répondant aux besoins d'un chercheur utilisant la CLHP </w:t>
        <w:br/>
        <w:br/>
        <w:t>(chromatographie liquide à haute performance) ou HPLC en anglais de la chromatographie  liquide surcolone classique ou la chromatographie planaire (CCM) et CP).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