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Helary, Jean-Michel/ Pédrono, René/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 p.p. 349-352</w:t>
            </w:r>
          </w:p>
        </w:tc>
      </w:tr>
      <w:tr>
        <w:trPr>
          <w:trHeight w:val="567"/>
        </w:trPr>
        <w:tc>
          <w:tcPr>
            <w:tcW w:type="dxa" w:w="3000"/>
          </w:tcPr>
          <w:p>
            <w:r>
              <w:t>Numéro d'Identification</w:t>
            </w:r>
          </w:p>
        </w:tc>
        <w:tc>
          <w:tcPr>
            <w:tcW w:type="dxa" w:w="7000"/>
          </w:tcPr>
          <w:p>
            <w:r>
              <w:t>2705659552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opérationnelle/ </w:t>
            </w:r>
          </w:p>
        </w:tc>
      </w:tr>
    </w:tbl>
    <w:p>
      <w:pPr>
        <w:pStyle w:val="Heading3"/>
      </w:pPr>
      <w:r>
        <w:t>Résumé :</w:t>
      </w:r>
    </w:p>
    <w:p>
      <w:r>
        <w:t>Cet ouvrage indépendant des enseignements ou des traités existants et en font un outil de travail performant pour les utilisateurs de recherche opérationnelle qui trouveront l'exposé et l'application des techniques utiles. il intéresse également chercheurs,enseignants,informaticiens,ingénieurs et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