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programmation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407-410. Index p.p. 411-417</w:t>
            </w:r>
          </w:p>
        </w:tc>
      </w:tr>
      <w:tr>
        <w:trPr>
          <w:trHeight w:val="567"/>
        </w:trPr>
        <w:tc>
          <w:tcPr>
            <w:tcW w:type="dxa" w:w="3000"/>
          </w:tcPr>
          <w:p>
            <w:r>
              <w:t>Numéro d'Identification</w:t>
            </w:r>
          </w:p>
        </w:tc>
        <w:tc>
          <w:tcPr>
            <w:tcW w:type="dxa" w:w="7000"/>
          </w:tcPr>
          <w:p>
            <w:r>
              <w:t>9782100712878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programmation orientée objet/ structure de donnée/ langage de programmation/ </w:t>
            </w:r>
          </w:p>
        </w:tc>
      </w:tr>
    </w:tbl>
    <w:p>
      <w:pPr>
        <w:pStyle w:val="Heading3"/>
      </w:pPr>
      <w:r>
        <w:t>Résumé :</w:t>
      </w:r>
    </w:p>
    <w:p>
      <w:r>
        <w:t>Manuel sur les principes de la programmation impérative et orientée objet, mettant l'accent sur les notions de validité et de fiabilité en s'appuyant sur des notations formelles. Les algorithmes et les structures de données sont traduits et présentés en Java 8. Avec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