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inorganique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Housecroft; Catherine E./ Sharpe; Alan G./ Pousse, André/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1097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x 22 cm</w:t>
            </w:r>
          </w:p>
        </w:tc>
      </w:tr>
      <w:tr>
        <w:trPr>
          <w:trHeight w:val="567"/>
        </w:trPr>
        <w:tc>
          <w:tcPr>
            <w:tcW w:type="dxa" w:w="3000"/>
          </w:tcPr>
          <w:p>
            <w:r>
              <w:t>Notes Générales</w:t>
            </w:r>
          </w:p>
        </w:tc>
        <w:tc>
          <w:tcPr>
            <w:tcW w:type="dxa" w:w="7000"/>
          </w:tcPr>
          <w:p>
            <w:r>
              <w:t>Index p.p.1040-1097</w:t>
            </w:r>
          </w:p>
        </w:tc>
      </w:tr>
      <w:tr>
        <w:trPr>
          <w:trHeight w:val="567"/>
        </w:trPr>
        <w:tc>
          <w:tcPr>
            <w:tcW w:type="dxa" w:w="3000"/>
          </w:tcPr>
          <w:p>
            <w:r>
              <w:t>Numéro d'Identification</w:t>
            </w:r>
          </w:p>
        </w:tc>
        <w:tc>
          <w:tcPr>
            <w:tcW w:type="dxa" w:w="7000"/>
          </w:tcPr>
          <w:p>
            <w:r>
              <w:t>9782804162184</w:t>
            </w:r>
          </w:p>
        </w:tc>
      </w:tr>
      <w:tr>
        <w:trPr>
          <w:trHeight w:val="567"/>
        </w:trPr>
        <w:tc>
          <w:tcPr>
            <w:tcW w:type="dxa" w:w="3000"/>
          </w:tcPr>
          <w:p>
            <w:r>
              <w:t>Sujet(s)</w:t>
            </w:r>
          </w:p>
        </w:tc>
        <w:tc>
          <w:tcPr>
            <w:tcW w:type="dxa" w:w="7000"/>
          </w:tcPr>
          <w:p>
            <w:r>
              <w:t xml:space="preserve">chimie inorganique/ </w:t>
            </w:r>
          </w:p>
        </w:tc>
      </w:tr>
    </w:tbl>
    <w:p>
      <w:pPr>
        <w:pStyle w:val="Heading3"/>
      </w:pPr>
      <w:r>
        <w:t>Résumé :</w:t>
      </w:r>
    </w:p>
    <w:p>
      <w:r>
        <w:t>Ce manuel de chimie inorganique part des principes physiques fondamentaux pour aller vers la chimie descriptive des éléments et leurs applications dans les domaines de la vie quotidienne, de l'industrie, de l'environnement et de la chimie bioinorganique. Des exemples résolus suivis d'exercices autodidactiques permettent à l'étudiant de tester ses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